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715E8" w14:textId="7F1CC327"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B428B9" w:rsidRPr="00B428B9">
        <w:rPr>
          <w:rFonts w:ascii="Arial" w:hAnsi="Arial" w:cs="Arial"/>
          <w:b/>
          <w:sz w:val="24"/>
          <w:lang w:val="en-US"/>
        </w:rPr>
        <w:t>R5-202124</w:t>
      </w:r>
      <w:ins w:id="3" w:author="Thorsten Hertel (KEYS)" w:date="2020-05-25T07:20:00Z">
        <w:r w:rsidR="00DC687B">
          <w:rPr>
            <w:rFonts w:ascii="Arial" w:hAnsi="Arial" w:cs="Arial"/>
            <w:b/>
            <w:sz w:val="24"/>
            <w:lang w:val="en-US"/>
          </w:rPr>
          <w:t>r1</w:t>
        </w:r>
      </w:ins>
      <w:bookmarkStart w:id="4" w:name="_GoBack"/>
      <w:bookmarkEnd w:id="4"/>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354167" w:rsidRDefault="00816C9D" w:rsidP="00816C9D">
      <w:pPr>
        <w:rPr>
          <w:rFonts w:ascii="Arial" w:hAnsi="Arial" w:cs="Arial"/>
          <w:b/>
          <w:sz w:val="24"/>
          <w:szCs w:val="24"/>
        </w:rPr>
      </w:pPr>
    </w:p>
    <w:p w14:paraId="35952388" w14:textId="6F1D005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A3030" w:rsidRPr="001A3030">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1979E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bookmarkStart w:id="5" w:name="_Hlk517280009"/>
      <w:r w:rsidR="000833ED" w:rsidRPr="00354167">
        <w:rPr>
          <w:rFonts w:ascii="Arial" w:hAnsi="Arial" w:cs="Arial"/>
          <w:sz w:val="24"/>
          <w:szCs w:val="24"/>
        </w:rPr>
        <w:t>On PC1 MUs</w:t>
      </w:r>
      <w:r w:rsidR="00861C5F" w:rsidRPr="00354167">
        <w:rPr>
          <w:rFonts w:ascii="Arial" w:hAnsi="Arial" w:cs="Arial"/>
          <w:b/>
          <w:sz w:val="24"/>
          <w:szCs w:val="24"/>
        </w:rPr>
        <w:t xml:space="preserve"> </w:t>
      </w:r>
      <w:bookmarkEnd w:id="5"/>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AED12F6" w:rsidR="000606FD" w:rsidRPr="00354167" w:rsidRDefault="000833ED" w:rsidP="006C2AF9">
      <w:pPr>
        <w:rPr>
          <w:rFonts w:eastAsia="Batang"/>
        </w:rPr>
      </w:pPr>
      <w:r w:rsidRPr="00354167">
        <w:rPr>
          <w:rFonts w:eastAsia="Batang"/>
        </w:rPr>
        <w:t>This contribution reviews the MU elements and values for PC1 devices</w:t>
      </w:r>
      <w:r w:rsidR="006C2AF9" w:rsidRPr="00354167">
        <w:rPr>
          <w:rFonts w:eastAsia="Batang"/>
        </w:rPr>
        <w:t>.</w:t>
      </w:r>
    </w:p>
    <w:p w14:paraId="3595238E" w14:textId="044AD9C9" w:rsidR="0053435C" w:rsidRPr="00354167" w:rsidRDefault="002B01BA" w:rsidP="0053435C">
      <w:pPr>
        <w:pStyle w:val="Heading1"/>
        <w:ind w:left="567" w:hanging="567"/>
      </w:pPr>
      <w:r w:rsidRPr="00354167">
        <w:t>Measurement Grid Based MUs</w:t>
      </w:r>
    </w:p>
    <w:p w14:paraId="3595238F" w14:textId="4B35238A" w:rsidR="00E03F11" w:rsidRPr="00354167" w:rsidRDefault="004A7D1A" w:rsidP="00E03F11">
      <w:r>
        <w:t>In RAN5#85</w:t>
      </w:r>
      <w:r w:rsidR="006C2AF9" w:rsidRPr="00354167">
        <w:t>, antenna assumptions for PC1 device</w:t>
      </w:r>
      <w:r w:rsidR="005464FE" w:rsidRPr="00354167">
        <w:t xml:space="preserve">s were agreed in </w:t>
      </w:r>
      <w:r w:rsidR="005464FE" w:rsidRPr="00354167">
        <w:fldChar w:fldCharType="begin"/>
      </w:r>
      <w:r w:rsidR="005464FE" w:rsidRPr="00354167">
        <w:instrText xml:space="preserve"> REF _Ref23867682 \n \h </w:instrText>
      </w:r>
      <w:r w:rsidR="005464FE" w:rsidRPr="00354167">
        <w:fldChar w:fldCharType="separate"/>
      </w:r>
      <w:r w:rsidR="00C9025C">
        <w:t>[1]</w:t>
      </w:r>
      <w:r w:rsidR="005464FE" w:rsidRPr="00354167">
        <w:fldChar w:fldCharType="end"/>
      </w:r>
      <w:r w:rsidR="005464FE" w:rsidRPr="00354167">
        <w:t xml:space="preserve">. Based on these antenna assumptions, measurement grids and underlying assumptions for MU were defined in </w:t>
      </w:r>
      <w:r w:rsidR="005464FE" w:rsidRPr="00354167">
        <w:fldChar w:fldCharType="begin"/>
      </w:r>
      <w:r w:rsidR="005464FE" w:rsidRPr="00354167">
        <w:instrText xml:space="preserve"> REF _Ref31050457 \n \h </w:instrText>
      </w:r>
      <w:r w:rsidR="005464FE" w:rsidRPr="00354167">
        <w:fldChar w:fldCharType="separate"/>
      </w:r>
      <w:r w:rsidR="00C9025C">
        <w:t>[2]</w:t>
      </w:r>
      <w:r w:rsidR="005464FE" w:rsidRPr="00354167">
        <w:fldChar w:fldCharType="end"/>
      </w:r>
      <w:r w:rsidR="005464FE" w:rsidRPr="00354167">
        <w:t xml:space="preserve"> and </w:t>
      </w:r>
      <w:r w:rsidR="005464FE" w:rsidRPr="00354167">
        <w:fldChar w:fldCharType="begin"/>
      </w:r>
      <w:r w:rsidR="005464FE" w:rsidRPr="00354167">
        <w:instrText xml:space="preserve"> REF _Ref31050460 \n \h </w:instrText>
      </w:r>
      <w:r w:rsidR="005464FE" w:rsidRPr="00354167">
        <w:fldChar w:fldCharType="separate"/>
      </w:r>
      <w:r w:rsidR="00C9025C">
        <w:t>[3]</w:t>
      </w:r>
      <w:r w:rsidR="005464FE" w:rsidRPr="00354167">
        <w:fldChar w:fldCharType="end"/>
      </w:r>
      <w:r w:rsidR="005464FE" w:rsidRPr="00354167">
        <w:t xml:space="preserve">. </w:t>
      </w:r>
    </w:p>
    <w:p w14:paraId="40C1A3CE" w14:textId="577D8B29" w:rsidR="009D343A" w:rsidRPr="00354167" w:rsidRDefault="009D343A" w:rsidP="00E03F11">
      <w:proofErr w:type="gramStart"/>
      <w:r w:rsidRPr="00354167">
        <w:t>Similar to</w:t>
      </w:r>
      <w:proofErr w:type="gramEnd"/>
      <w:r w:rsidRPr="00354167">
        <w:t xml:space="preserve"> PC3 devices, for PC1 devices it was assumed that the standard deviation does not exceed 0.25dB </w:t>
      </w:r>
      <w:r w:rsidRPr="00354167">
        <w:fldChar w:fldCharType="begin"/>
      </w:r>
      <w:r w:rsidRPr="00354167">
        <w:instrText xml:space="preserve"> REF _Ref31050457 \n \h </w:instrText>
      </w:r>
      <w:r w:rsidRPr="00354167">
        <w:fldChar w:fldCharType="separate"/>
      </w:r>
      <w:r w:rsidR="00C9025C">
        <w:t>[2]</w:t>
      </w:r>
      <w:r w:rsidRPr="00354167">
        <w:fldChar w:fldCharType="end"/>
      </w:r>
      <w:r w:rsidRPr="00354167">
        <w:t>.</w:t>
      </w:r>
    </w:p>
    <w:tbl>
      <w:tblPr>
        <w:tblStyle w:val="TableGrid"/>
        <w:tblW w:w="0" w:type="auto"/>
        <w:tblLook w:val="04A0" w:firstRow="1" w:lastRow="0" w:firstColumn="1" w:lastColumn="0" w:noHBand="0" w:noVBand="1"/>
      </w:tblPr>
      <w:tblGrid>
        <w:gridCol w:w="9631"/>
      </w:tblGrid>
      <w:tr w:rsidR="009D343A" w:rsidRPr="00354167" w14:paraId="1F155C1B" w14:textId="77777777" w:rsidTr="009D343A">
        <w:tc>
          <w:tcPr>
            <w:tcW w:w="9631" w:type="dxa"/>
          </w:tcPr>
          <w:p w14:paraId="12FA1571" w14:textId="117B394D" w:rsidR="009D343A" w:rsidRPr="00354167" w:rsidRDefault="009D343A" w:rsidP="00E03F11">
            <w:r w:rsidRPr="00354167">
              <w:t xml:space="preserve">In order to make a reasonable trade-off between measurement uncertainties, at least the following number of points shall be included in the measurement grid for TRP measurements PC1 UEs based on the assumption that the </w:t>
            </w:r>
            <w:r w:rsidRPr="00354167">
              <w:rPr>
                <w:highlight w:val="yellow"/>
              </w:rPr>
              <w:t>standard deviation does not exceed 0.25dB</w:t>
            </w:r>
            <w:r w:rsidRPr="00354167">
              <w:t>.</w:t>
            </w:r>
          </w:p>
        </w:tc>
      </w:tr>
    </w:tbl>
    <w:p w14:paraId="4BF3A079" w14:textId="4697D316" w:rsidR="009D343A" w:rsidRPr="00354167" w:rsidRDefault="009D343A" w:rsidP="00E03F11">
      <w:r w:rsidRPr="00354167">
        <w:t>It is therefore proposed to define the MU element “Influence of TRP measurement grid” with a standard uncertainty of 0.25dB with the systematic error of MU element “Systematic error due to TRP calculation/quadrature”</w:t>
      </w:r>
      <w:r w:rsidR="00E556C7" w:rsidRPr="00354167">
        <w:t xml:space="preserve"> set to 0.</w:t>
      </w:r>
    </w:p>
    <w:p w14:paraId="4989CD21" w14:textId="4C9AA891" w:rsidR="00E556C7" w:rsidRPr="00354167" w:rsidRDefault="00E556C7" w:rsidP="00E556C7">
      <w:pPr>
        <w:pStyle w:val="Caption"/>
      </w:pPr>
      <w:bookmarkStart w:id="6" w:name="_Ref3110495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1</w:t>
      </w:r>
      <w:r w:rsidRPr="00354167">
        <w:fldChar w:fldCharType="end"/>
      </w:r>
      <w:r w:rsidRPr="00354167">
        <w:t>: define the PC1 MU element “Influence of TRP measurement grid” with a standard uncertainty of 0.25dB with the systematic error of PC1 MU element “Systematic error due to TRP calculation/quadrature” set to 0</w:t>
      </w:r>
      <w:bookmarkEnd w:id="6"/>
    </w:p>
    <w:p w14:paraId="715C89F7" w14:textId="7730023C" w:rsidR="00E556C7" w:rsidRPr="00354167" w:rsidRDefault="00E556C7" w:rsidP="00E556C7">
      <w:r w:rsidRPr="00354167">
        <w:t>For PC1 device</w:t>
      </w:r>
      <w:r w:rsidR="007A5B40" w:rsidRPr="00354167">
        <w:t>s</w:t>
      </w:r>
      <w:r w:rsidRPr="00354167">
        <w:t>, the beam peak search</w:t>
      </w:r>
      <w:r w:rsidR="007A5B40" w:rsidRPr="00354167">
        <w:t xml:space="preserve"> measurement grid definition relaxed the systematic error of “Beam Peak Search” to 0.7dB (when compared to 0.5dB for PC3 devices). </w:t>
      </w:r>
    </w:p>
    <w:tbl>
      <w:tblPr>
        <w:tblStyle w:val="TableGrid"/>
        <w:tblW w:w="0" w:type="auto"/>
        <w:tblLook w:val="04A0" w:firstRow="1" w:lastRow="0" w:firstColumn="1" w:lastColumn="0" w:noHBand="0" w:noVBand="1"/>
      </w:tblPr>
      <w:tblGrid>
        <w:gridCol w:w="9631"/>
      </w:tblGrid>
      <w:tr w:rsidR="00E556C7" w:rsidRPr="00354167" w14:paraId="7D39F3AC" w14:textId="77777777" w:rsidTr="00E556C7">
        <w:tc>
          <w:tcPr>
            <w:tcW w:w="9631" w:type="dxa"/>
          </w:tcPr>
          <w:p w14:paraId="2184C302" w14:textId="3346066B" w:rsidR="00E556C7" w:rsidRPr="00354167" w:rsidRDefault="00E556C7" w:rsidP="00E556C7">
            <w:proofErr w:type="gramStart"/>
            <w:r w:rsidRPr="00354167">
              <w:t>Taking into account</w:t>
            </w:r>
            <w:proofErr w:type="gramEnd"/>
            <w:r w:rsidRPr="00354167">
              <w:t xml:space="preserve"> simulation results above and in order to make a reasonable trade-off with measurement uncertainties, it is recommended to use for beam peak search the following measurement grids leading to a </w:t>
            </w:r>
            <w:r w:rsidRPr="00354167">
              <w:rPr>
                <w:highlight w:val="yellow"/>
              </w:rPr>
              <w:t>systematic error of “Beam Peak Search” of 0.7 dB</w:t>
            </w:r>
          </w:p>
        </w:tc>
      </w:tr>
    </w:tbl>
    <w:p w14:paraId="094BC735" w14:textId="666AA177" w:rsidR="007A5B40" w:rsidRPr="00354167" w:rsidRDefault="007A5B40" w:rsidP="007A5B40">
      <w:pPr>
        <w:pStyle w:val="Caption"/>
      </w:pPr>
      <w:bookmarkStart w:id="7" w:name="_Ref31104960"/>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2</w:t>
      </w:r>
      <w:r w:rsidRPr="00354167">
        <w:fldChar w:fldCharType="end"/>
      </w:r>
      <w:r w:rsidRPr="00354167">
        <w:t>: define the systematic error of PC1 MU element “Systematic error related to beam peak search” to be 0.7dB.</w:t>
      </w:r>
      <w:bookmarkEnd w:id="7"/>
      <w:r w:rsidRPr="00354167">
        <w:t xml:space="preserve"> </w:t>
      </w:r>
    </w:p>
    <w:p w14:paraId="27E6A0B0" w14:textId="00194F2B" w:rsidR="00CD554E" w:rsidRPr="00354167" w:rsidRDefault="00CD554E" w:rsidP="00CD554E">
      <w:r w:rsidRPr="00354167">
        <w:t xml:space="preserve">The spherical coverage grid analyses </w:t>
      </w:r>
      <w:r w:rsidR="00DD14A6" w:rsidRPr="00354167">
        <w:t>defined the</w:t>
      </w:r>
      <w:r w:rsidRPr="00354167">
        <w:t xml:space="preserve"> MU element</w:t>
      </w:r>
      <w:r w:rsidR="00DD14A6" w:rsidRPr="00354167">
        <w:t xml:space="preserve"> “Influence of spherical coverage grid” to be 0.05dB; similar to PC3 devices, the DL step size for PC1 devices was set to 0.2dB which matches the MU element “Systematic error related to EIS spherical coverage”</w:t>
      </w:r>
    </w:p>
    <w:tbl>
      <w:tblPr>
        <w:tblStyle w:val="TableGrid"/>
        <w:tblW w:w="0" w:type="auto"/>
        <w:tblLook w:val="04A0" w:firstRow="1" w:lastRow="0" w:firstColumn="1" w:lastColumn="0" w:noHBand="0" w:noVBand="1"/>
      </w:tblPr>
      <w:tblGrid>
        <w:gridCol w:w="9631"/>
      </w:tblGrid>
      <w:tr w:rsidR="00CD554E" w:rsidRPr="00354167" w14:paraId="5B2E501A" w14:textId="77777777" w:rsidTr="00CD554E">
        <w:tc>
          <w:tcPr>
            <w:tcW w:w="9631" w:type="dxa"/>
          </w:tcPr>
          <w:p w14:paraId="1AC3E588" w14:textId="77777777" w:rsidR="00CD554E" w:rsidRPr="00354167" w:rsidRDefault="00CD554E" w:rsidP="00CD554E">
            <w:pPr>
              <w:rPr>
                <w:b/>
              </w:rPr>
            </w:pPr>
            <w:r w:rsidRPr="00354167">
              <w:t xml:space="preserve">In order to make a reasonable trade-off with measurement uncertainties, it is recommended to use the following recommendation in terms of min. number of grid points, standard deviation, and mean error for spherical coverage grids: </w:t>
            </w:r>
          </w:p>
          <w:p w14:paraId="684952C4" w14:textId="77777777" w:rsidR="00CD554E" w:rsidRPr="00354167" w:rsidRDefault="00CD554E" w:rsidP="00583627">
            <w:pPr>
              <w:pStyle w:val="ListParagraph"/>
              <w:numPr>
                <w:ilvl w:val="0"/>
                <w:numId w:val="39"/>
              </w:numPr>
              <w:rPr>
                <w:lang w:val="en-GB"/>
              </w:rPr>
            </w:pPr>
            <w:r w:rsidRPr="00354167">
              <w:rPr>
                <w:lang w:val="en-GB"/>
              </w:rPr>
              <w:t>constant density grid (using the charged particle implementation) with at least 200 grid points: standard deviation (MU element ‘Influence of spherical coverage grid’) of 0.05dB and 0.01dB Mean Error</w:t>
            </w:r>
          </w:p>
          <w:p w14:paraId="5FF92A87" w14:textId="77777777" w:rsidR="00CD554E" w:rsidRPr="00354167" w:rsidRDefault="00CD554E" w:rsidP="00583627">
            <w:pPr>
              <w:pStyle w:val="ListParagraph"/>
              <w:numPr>
                <w:ilvl w:val="0"/>
                <w:numId w:val="39"/>
              </w:numPr>
              <w:rPr>
                <w:lang w:val="en-GB"/>
              </w:rPr>
            </w:pPr>
            <w:r w:rsidRPr="00354167">
              <w:rPr>
                <w:lang w:val="en-GB"/>
              </w:rPr>
              <w:t>constant step size grid with at least 266 grid points: standard deviation (MU element ‘Influence of spherical coverage grid’) of 0.05dB and 0.01dB Mean Error</w:t>
            </w:r>
          </w:p>
          <w:p w14:paraId="0639318B" w14:textId="12B64797" w:rsidR="00CD554E" w:rsidRPr="00354167" w:rsidRDefault="00CD554E" w:rsidP="00583627">
            <w:pPr>
              <w:pStyle w:val="ListParagraph"/>
              <w:numPr>
                <w:ilvl w:val="0"/>
                <w:numId w:val="39"/>
              </w:numPr>
              <w:rPr>
                <w:lang w:val="en-GB"/>
              </w:rPr>
            </w:pPr>
            <w:r w:rsidRPr="00354167">
              <w:rPr>
                <w:lang w:val="en-GB"/>
              </w:rPr>
              <w:t>the MU element ‘Systematic error related to EIS spherical coverage’ is the DL step size, i.e., 0.2dB.</w:t>
            </w:r>
          </w:p>
        </w:tc>
      </w:tr>
    </w:tbl>
    <w:p w14:paraId="1A8C8912" w14:textId="79CEA039" w:rsidR="00DD14A6" w:rsidRPr="00354167" w:rsidRDefault="00DD14A6" w:rsidP="00DD14A6">
      <w:pPr>
        <w:pStyle w:val="Caption"/>
      </w:pPr>
      <w:bookmarkStart w:id="8" w:name="_Ref31104966"/>
      <w:r w:rsidRPr="00354167">
        <w:lastRenderedPageBreak/>
        <w:t xml:space="preserve">Proposal </w:t>
      </w:r>
      <w:r w:rsidRPr="00354167">
        <w:fldChar w:fldCharType="begin"/>
      </w:r>
      <w:r w:rsidRPr="00354167">
        <w:instrText xml:space="preserve"> SEQ Proposal \* ARABIC </w:instrText>
      </w:r>
      <w:r w:rsidRPr="00354167">
        <w:fldChar w:fldCharType="separate"/>
      </w:r>
      <w:r w:rsidR="00C9025C">
        <w:rPr>
          <w:noProof/>
        </w:rPr>
        <w:t>3</w:t>
      </w:r>
      <w:r w:rsidRPr="00354167">
        <w:fldChar w:fldCharType="end"/>
      </w:r>
      <w:r w:rsidRPr="00354167">
        <w:t xml:space="preserve">: define the PC1 MU element “Influence of spherical coverage grid” with a standard uncertainty of </w:t>
      </w:r>
      <w:ins w:id="9" w:author="Thorsten Hertel (KEYS)" w:date="2020-05-25T07:20:00Z">
        <w:r w:rsidR="00DC687B">
          <w:t>[</w:t>
        </w:r>
      </w:ins>
      <w:r w:rsidRPr="00354167">
        <w:t>0.05dB</w:t>
      </w:r>
      <w:ins w:id="10" w:author="Thorsten Hertel (KEYS)" w:date="2020-05-25T07:20:00Z">
        <w:r w:rsidR="00DC687B">
          <w:t>]</w:t>
        </w:r>
      </w:ins>
      <w:r w:rsidRPr="00354167">
        <w:t xml:space="preserve"> with the systematic error of PC1 MU element “Systematic error related to EIS spherical coverage” set to 0.2dB</w:t>
      </w:r>
      <w:bookmarkEnd w:id="8"/>
    </w:p>
    <w:p w14:paraId="240AAFD3" w14:textId="6B5EEF6A" w:rsidR="002B01BA" w:rsidRPr="00354167" w:rsidRDefault="002B01BA" w:rsidP="002B01BA">
      <w:pPr>
        <w:pStyle w:val="Heading1"/>
        <w:ind w:left="567" w:hanging="567"/>
      </w:pPr>
      <w:r w:rsidRPr="00354167">
        <w:t>QoQZ</w:t>
      </w:r>
    </w:p>
    <w:p w14:paraId="4950A0D6" w14:textId="1A28142F" w:rsidR="00CD554E" w:rsidRPr="00354167" w:rsidRDefault="00643519" w:rsidP="00CD554E">
      <w:r w:rsidRPr="00354167">
        <w:t>The QoQZ procedure for PC3 devices was defined with reference antenna pattern mask</w:t>
      </w:r>
      <w:r w:rsidR="00AA7169" w:rsidRPr="00354167">
        <w:t>s</w:t>
      </w:r>
      <w:r w:rsidRPr="00354167">
        <w:t xml:space="preserve"> </w:t>
      </w:r>
      <w:r w:rsidR="00352233" w:rsidRPr="00354167">
        <w:t xml:space="preserve">(directivity, HPBW) </w:t>
      </w:r>
      <w:r w:rsidRPr="00354167">
        <w:t xml:space="preserve">that </w:t>
      </w:r>
      <w:r w:rsidR="00AA7169" w:rsidRPr="00354167">
        <w:t>are</w:t>
      </w:r>
      <w:r w:rsidRPr="00354167">
        <w:t xml:space="preserve"> </w:t>
      </w:r>
      <w:r w:rsidR="00352233" w:rsidRPr="00354167">
        <w:t xml:space="preserve">somewhat </w:t>
      </w:r>
      <w:proofErr w:type="gramStart"/>
      <w:r w:rsidRPr="00354167">
        <w:t>similar to</w:t>
      </w:r>
      <w:proofErr w:type="gramEnd"/>
      <w:r w:rsidRPr="00354167">
        <w:t xml:space="preserve"> </w:t>
      </w:r>
      <w:r w:rsidR="00352233" w:rsidRPr="00354167">
        <w:t>expected</w:t>
      </w:r>
      <w:r w:rsidRPr="00354167">
        <w:t xml:space="preserve"> antenna</w:t>
      </w:r>
      <w:r w:rsidR="00AA7169" w:rsidRPr="00354167">
        <w:t xml:space="preserve"> pattern. </w:t>
      </w:r>
      <w:r w:rsidR="00AC5BD9" w:rsidRPr="00354167">
        <w:t xml:space="preserve">Typical PC1 antenna patterns are expected to be significantly more directive than typical PC3 antenna patterns, e.g., the worst-case pattern assumption for measurement grid analyses was based on an 8x2 antenna array for PC3, while a 12x12 antenna array was assumed for PC1 as illustrated in </w:t>
      </w:r>
      <w:r w:rsidR="00740C81" w:rsidRPr="00354167">
        <w:fldChar w:fldCharType="begin"/>
      </w:r>
      <w:r w:rsidR="00740C81" w:rsidRPr="00354167">
        <w:instrText xml:space="preserve"> REF _Ref31056529 \h </w:instrText>
      </w:r>
      <w:r w:rsidR="00740C81" w:rsidRPr="00354167">
        <w:fldChar w:fldCharType="separate"/>
      </w:r>
      <w:r w:rsidR="00C9025C" w:rsidRPr="00354167">
        <w:t xml:space="preserve">Figure </w:t>
      </w:r>
      <w:r w:rsidR="00C9025C">
        <w:rPr>
          <w:noProof/>
        </w:rPr>
        <w:t>1</w:t>
      </w:r>
      <w:r w:rsidR="00740C81" w:rsidRPr="00354167">
        <w:fldChar w:fldCharType="end"/>
      </w:r>
      <w:r w:rsidR="00740C81" w:rsidRPr="00354167">
        <w:t>.</w:t>
      </w:r>
    </w:p>
    <w:p w14:paraId="3C63486C" w14:textId="102F229C" w:rsidR="00AC5BD9" w:rsidRPr="00354167" w:rsidRDefault="00896533" w:rsidP="00AC5BD9">
      <w:pPr>
        <w:rPr>
          <w:b/>
          <w:bCs/>
          <w:color w:val="595959"/>
        </w:rPr>
      </w:pPr>
      <w:r w:rsidRPr="00896533">
        <w:rPr>
          <w:b/>
          <w:bCs/>
          <w:noProof/>
          <w:color w:val="595959"/>
        </w:rPr>
        <w:drawing>
          <wp:inline distT="0" distB="0" distL="0" distR="0" wp14:anchorId="499ACA7F" wp14:editId="5DDA2123">
            <wp:extent cx="2762112" cy="2468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2407" t="7017" r="8485" b="10646"/>
                    <a:stretch/>
                  </pic:blipFill>
                  <pic:spPr bwMode="auto">
                    <a:xfrm>
                      <a:off x="0" y="0"/>
                      <a:ext cx="2762112" cy="2468880"/>
                    </a:xfrm>
                    <a:prstGeom prst="rect">
                      <a:avLst/>
                    </a:prstGeom>
                    <a:ln>
                      <a:noFill/>
                    </a:ln>
                    <a:extLst>
                      <a:ext uri="{53640926-AAD7-44D8-BBD7-CCE9431645EC}">
                        <a14:shadowObscured xmlns:a14="http://schemas.microsoft.com/office/drawing/2010/main"/>
                      </a:ext>
                    </a:extLst>
                  </pic:spPr>
                </pic:pic>
              </a:graphicData>
            </a:graphic>
          </wp:inline>
        </w:drawing>
      </w:r>
      <w:r w:rsidR="00AC5BD9" w:rsidRPr="00354167">
        <w:rPr>
          <w:b/>
          <w:bCs/>
          <w:color w:val="595959"/>
        </w:rPr>
        <w:t xml:space="preserve"> </w:t>
      </w:r>
      <w:r w:rsidRPr="00896533">
        <w:rPr>
          <w:b/>
          <w:bCs/>
          <w:noProof/>
          <w:color w:val="595959"/>
        </w:rPr>
        <w:drawing>
          <wp:inline distT="0" distB="0" distL="0" distR="0" wp14:anchorId="7B4F6680" wp14:editId="70C50E20">
            <wp:extent cx="3039540" cy="246888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326" t="6774" r="9098" b="10295"/>
                    <a:stretch/>
                  </pic:blipFill>
                  <pic:spPr bwMode="auto">
                    <a:xfrm>
                      <a:off x="0" y="0"/>
                      <a:ext cx="3039540" cy="2468880"/>
                    </a:xfrm>
                    <a:prstGeom prst="rect">
                      <a:avLst/>
                    </a:prstGeom>
                    <a:ln>
                      <a:noFill/>
                    </a:ln>
                    <a:extLst>
                      <a:ext uri="{53640926-AAD7-44D8-BBD7-CCE9431645EC}">
                        <a14:shadowObscured xmlns:a14="http://schemas.microsoft.com/office/drawing/2010/main"/>
                      </a:ext>
                    </a:extLst>
                  </pic:spPr>
                </pic:pic>
              </a:graphicData>
            </a:graphic>
          </wp:inline>
        </w:drawing>
      </w:r>
    </w:p>
    <w:p w14:paraId="49DCA889" w14:textId="07ACB5B4" w:rsidR="00AC5BD9" w:rsidRPr="00354167" w:rsidRDefault="00AC5BD9" w:rsidP="00AC5BD9">
      <w:pPr>
        <w:pStyle w:val="Caption"/>
        <w:jc w:val="center"/>
      </w:pPr>
      <w:bookmarkStart w:id="11" w:name="_Ref31056529"/>
      <w:r w:rsidRPr="00354167">
        <w:t xml:space="preserve">Figure </w:t>
      </w:r>
      <w:r w:rsidRPr="00354167">
        <w:fldChar w:fldCharType="begin"/>
      </w:r>
      <w:r w:rsidRPr="00354167">
        <w:instrText xml:space="preserve"> SEQ Figure \* ARABIC </w:instrText>
      </w:r>
      <w:r w:rsidRPr="00354167">
        <w:fldChar w:fldCharType="separate"/>
      </w:r>
      <w:r w:rsidR="00C9025C">
        <w:rPr>
          <w:noProof/>
        </w:rPr>
        <w:t>1</w:t>
      </w:r>
      <w:r w:rsidRPr="00354167">
        <w:fldChar w:fldCharType="end"/>
      </w:r>
      <w:bookmarkEnd w:id="11"/>
      <w:r w:rsidRPr="00354167">
        <w:t>: Worst case PC3 (left) and PC1 (right) antenna patterns</w:t>
      </w:r>
    </w:p>
    <w:p w14:paraId="741E558F" w14:textId="39FB5B4A" w:rsidR="002B01BA" w:rsidRPr="00354167" w:rsidRDefault="00352233" w:rsidP="00E556C7">
      <w:r w:rsidRPr="00354167">
        <w:t xml:space="preserve">Performing the QoQZ validations with highly directive antennas would require a much finer discretization of the antenna orientations/angles to illuminate the chamber uniformly. It is not expected that such QoQZ procedure with more directive antennas and more reference antenna orientations is going to yield a significant difference in QoQZ MU. </w:t>
      </w:r>
      <w:r w:rsidR="00323717" w:rsidRPr="00354167">
        <w:t xml:space="preserve">To avoid </w:t>
      </w:r>
      <w:r w:rsidRPr="00354167">
        <w:t xml:space="preserve">multiple </w:t>
      </w:r>
      <w:r w:rsidR="00323717" w:rsidRPr="00354167">
        <w:t>extensive</w:t>
      </w:r>
      <w:r w:rsidRPr="00354167">
        <w:t xml:space="preserve"> chamber validations, it is proposed to 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 It is subsequently pro</w:t>
      </w:r>
      <w:r w:rsidR="002B01BA" w:rsidRPr="00354167">
        <w:t xml:space="preserve">posed to </w:t>
      </w:r>
      <w:bookmarkStart w:id="12" w:name="_Hlk31090256"/>
      <w:r w:rsidR="002B01BA" w:rsidRPr="00354167">
        <w:t xml:space="preserve">apply the QoQZ MU values agreed for PC3 </w:t>
      </w:r>
      <w:r w:rsidR="002B01BA" w:rsidRPr="00354167">
        <w:fldChar w:fldCharType="begin"/>
      </w:r>
      <w:r w:rsidR="002B01BA" w:rsidRPr="00354167">
        <w:instrText xml:space="preserve"> REF _Ref31090226 \n \h </w:instrText>
      </w:r>
      <w:r w:rsidR="002B01BA" w:rsidRPr="00354167">
        <w:fldChar w:fldCharType="separate"/>
      </w:r>
      <w:r w:rsidR="00C9025C">
        <w:t>[5]</w:t>
      </w:r>
      <w:r w:rsidR="002B01BA" w:rsidRPr="00354167">
        <w:fldChar w:fldCharType="end"/>
      </w:r>
      <w:r w:rsidR="002B01BA" w:rsidRPr="00354167">
        <w:t xml:space="preserve"> to PC1</w:t>
      </w:r>
      <w:bookmarkEnd w:id="12"/>
      <w:r w:rsidR="002B01BA" w:rsidRPr="00354167">
        <w:t xml:space="preserve">. </w:t>
      </w:r>
    </w:p>
    <w:p w14:paraId="3CC15FB9" w14:textId="42A60B51" w:rsidR="002B01BA" w:rsidRPr="00354167" w:rsidRDefault="002B01BA" w:rsidP="002B01BA">
      <w:pPr>
        <w:pStyle w:val="Caption"/>
        <w:rPr>
          <w:noProof/>
        </w:rPr>
      </w:pPr>
      <w:bookmarkStart w:id="13" w:name="_Ref3110497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4</w:t>
      </w:r>
      <w:r w:rsidRPr="00354167">
        <w:fldChar w:fldCharType="end"/>
      </w:r>
      <w:r w:rsidRPr="00354167">
        <w:rPr>
          <w:noProof/>
        </w:rPr>
        <w:t xml:space="preserve">: </w:t>
      </w:r>
      <w:r w:rsidRPr="00354167">
        <w:t xml:space="preserve">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w:t>
      </w:r>
      <w:bookmarkEnd w:id="13"/>
    </w:p>
    <w:p w14:paraId="6CB40CB7" w14:textId="7B1805AB" w:rsidR="002B01BA" w:rsidRPr="00354167" w:rsidRDefault="002B01BA" w:rsidP="002B01BA">
      <w:pPr>
        <w:pStyle w:val="Caption"/>
        <w:rPr>
          <w:noProof/>
        </w:rPr>
      </w:pPr>
      <w:bookmarkStart w:id="14" w:name="_Ref31104978"/>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5</w:t>
      </w:r>
      <w:r w:rsidRPr="00354167">
        <w:fldChar w:fldCharType="end"/>
      </w:r>
      <w:r w:rsidRPr="00354167">
        <w:rPr>
          <w:noProof/>
        </w:rPr>
        <w:t xml:space="preserve">: </w:t>
      </w:r>
      <w:r w:rsidRPr="00354167">
        <w:t xml:space="preserve">Apply the QoQZ MU values agreed for PC3 </w:t>
      </w:r>
      <w:r w:rsidRPr="00354167">
        <w:fldChar w:fldCharType="begin"/>
      </w:r>
      <w:r w:rsidRPr="00354167">
        <w:instrText xml:space="preserve"> REF _Ref31090226 \n \h </w:instrText>
      </w:r>
      <w:r w:rsidRPr="00354167">
        <w:fldChar w:fldCharType="separate"/>
      </w:r>
      <w:r w:rsidR="00C9025C">
        <w:t>[5]</w:t>
      </w:r>
      <w:r w:rsidRPr="00354167">
        <w:fldChar w:fldCharType="end"/>
      </w:r>
      <w:r w:rsidRPr="00354167">
        <w:t xml:space="preserve"> to PC1</w:t>
      </w:r>
      <w:bookmarkEnd w:id="14"/>
    </w:p>
    <w:p w14:paraId="3B607B35" w14:textId="2EE07A9D" w:rsidR="00354167" w:rsidRPr="00354167" w:rsidRDefault="00354167" w:rsidP="00354167">
      <w:pPr>
        <w:pStyle w:val="Heading1"/>
      </w:pPr>
      <w:r w:rsidRPr="00354167">
        <w:t xml:space="preserve">MU Elements dependent on </w:t>
      </w:r>
      <w:r w:rsidR="009439E5">
        <w:t xml:space="preserve">DUT </w:t>
      </w:r>
      <w:r w:rsidRPr="00354167">
        <w:t>Antenna Pattern</w:t>
      </w:r>
    </w:p>
    <w:p w14:paraId="2DD056BA" w14:textId="1192C7A2" w:rsidR="00354167" w:rsidRDefault="00354167" w:rsidP="00354167">
      <w:r>
        <w:t xml:space="preserve">The </w:t>
      </w:r>
      <w:r w:rsidR="00AC57B6">
        <w:t>MU elements</w:t>
      </w:r>
      <w:r w:rsidR="00445435">
        <w:t>, other than those related to the measurement grid,</w:t>
      </w:r>
      <w:r w:rsidR="00AC57B6">
        <w:t xml:space="preserve"> depending on the antenna pattern have been identified in </w:t>
      </w:r>
      <w:r w:rsidR="00445435">
        <w:fldChar w:fldCharType="begin"/>
      </w:r>
      <w:r w:rsidR="00445435">
        <w:instrText xml:space="preserve"> REF _Ref31092598 \n \h </w:instrText>
      </w:r>
      <w:r w:rsidR="00445435">
        <w:fldChar w:fldCharType="separate"/>
      </w:r>
      <w:r w:rsidR="00C9025C">
        <w:t>[6]</w:t>
      </w:r>
      <w:r w:rsidR="00445435">
        <w:fldChar w:fldCharType="end"/>
      </w:r>
      <w:r w:rsidR="00445435">
        <w:t xml:space="preserve">: </w:t>
      </w:r>
    </w:p>
    <w:p w14:paraId="7632BEE6" w14:textId="2178C765" w:rsidR="00445435" w:rsidRPr="00445435" w:rsidRDefault="00445435" w:rsidP="00445435">
      <w:pPr>
        <w:pStyle w:val="ListParagraph"/>
        <w:rPr>
          <w:szCs w:val="20"/>
        </w:rPr>
      </w:pPr>
      <w:r w:rsidRPr="00445435">
        <w:rPr>
          <w:rFonts w:eastAsia="Times New Roman"/>
          <w:color w:val="000000"/>
          <w:szCs w:val="20"/>
        </w:rPr>
        <w:t>Positioning misalignment</w:t>
      </w:r>
    </w:p>
    <w:p w14:paraId="3186297C" w14:textId="6E477E4C" w:rsidR="00445435" w:rsidRPr="00445435" w:rsidRDefault="00445435" w:rsidP="00445435">
      <w:pPr>
        <w:pStyle w:val="ListParagraph"/>
      </w:pPr>
      <w:r w:rsidRPr="00445435">
        <w:rPr>
          <w:rFonts w:eastAsia="Times New Roman"/>
          <w:color w:val="000000"/>
          <w:szCs w:val="20"/>
        </w:rPr>
        <w:t>DUT repositioning (EIRP</w:t>
      </w:r>
      <w:r w:rsidR="00FE6EAD">
        <w:rPr>
          <w:rFonts w:eastAsia="Times New Roman"/>
          <w:color w:val="000000"/>
          <w:szCs w:val="20"/>
        </w:rPr>
        <w:t>/EIS</w:t>
      </w:r>
      <w:r w:rsidRPr="00445435">
        <w:rPr>
          <w:rFonts w:eastAsia="Times New Roman"/>
          <w:color w:val="000000"/>
          <w:szCs w:val="20"/>
        </w:rPr>
        <w:t>)</w:t>
      </w:r>
    </w:p>
    <w:p w14:paraId="5708BF38" w14:textId="0DF32E51" w:rsidR="00445435" w:rsidRPr="00FC426E" w:rsidRDefault="00445435" w:rsidP="00445435">
      <w:r>
        <w:t xml:space="preserve">The approach to determine the positioning misalignment MU is based on the approach outlined in </w:t>
      </w:r>
      <w:r>
        <w:fldChar w:fldCharType="begin"/>
      </w:r>
      <w:r>
        <w:instrText xml:space="preserve"> REF _Ref31093049 \n \h </w:instrText>
      </w:r>
      <w:r>
        <w:fldChar w:fldCharType="separate"/>
      </w:r>
      <w:r w:rsidR="00C9025C">
        <w:t>[7]</w:t>
      </w:r>
      <w:r>
        <w:fldChar w:fldCharType="end"/>
      </w:r>
      <w:r>
        <w:t xml:space="preserve"> with a </w:t>
      </w:r>
      <w:r w:rsidRPr="00445435">
        <w:t>maximum deviation from the beam peak direction due to positioning misalignment to be 0.25</w:t>
      </w:r>
      <w:r w:rsidRPr="00445435">
        <w:rPr>
          <w:vertAlign w:val="superscript"/>
        </w:rPr>
        <w:t>o</w:t>
      </w:r>
      <w:r>
        <w:t xml:space="preserve">. </w:t>
      </w:r>
      <w:r w:rsidR="00FC426E">
        <w:t xml:space="preserve">The simulation results shown in </w:t>
      </w:r>
      <w:r w:rsidR="00FC426E" w:rsidRPr="00FC426E">
        <w:fldChar w:fldCharType="begin"/>
      </w:r>
      <w:r w:rsidR="00FC426E" w:rsidRPr="00FC426E">
        <w:instrText xml:space="preserve"> REF _Ref534369233 \h  \* MERGEFORMAT </w:instrText>
      </w:r>
      <w:r w:rsidR="00FC426E" w:rsidRPr="00FC426E">
        <w:fldChar w:fldCharType="separate"/>
      </w:r>
      <w:r w:rsidR="00C9025C" w:rsidRPr="00C9025C">
        <w:t xml:space="preserve">Figure </w:t>
      </w:r>
      <w:r w:rsidR="00C9025C" w:rsidRPr="00C9025C">
        <w:rPr>
          <w:noProof/>
        </w:rPr>
        <w:t>2</w:t>
      </w:r>
      <w:r w:rsidR="00FC426E" w:rsidRPr="00FC426E">
        <w:fldChar w:fldCharType="end"/>
      </w:r>
      <w:r w:rsidR="00FC426E">
        <w:t xml:space="preserve"> show that </w:t>
      </w:r>
      <w:r w:rsidR="00FC426E">
        <w:rPr>
          <w:rFonts w:eastAsia="Batang"/>
        </w:rPr>
        <w:t>the error based on the positioning misalignment is very small with maximum error between the theoretical beam peak and the pattern at the misaligned beam peak direction 0.02dB.</w:t>
      </w:r>
    </w:p>
    <w:p w14:paraId="10258103" w14:textId="683D877F" w:rsidR="00445435" w:rsidRDefault="00445435" w:rsidP="00445435">
      <w:pPr>
        <w:spacing w:after="0"/>
        <w:jc w:val="center"/>
      </w:pPr>
      <w:r w:rsidRPr="00445435">
        <w:rPr>
          <w:noProof/>
        </w:rPr>
        <w:lastRenderedPageBreak/>
        <w:drawing>
          <wp:inline distT="0" distB="0" distL="0" distR="0" wp14:anchorId="7C3F0A46" wp14:editId="78669D2A">
            <wp:extent cx="4572000" cy="35384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38409"/>
                    </a:xfrm>
                    <a:prstGeom prst="rect">
                      <a:avLst/>
                    </a:prstGeom>
                    <a:noFill/>
                    <a:ln>
                      <a:noFill/>
                    </a:ln>
                  </pic:spPr>
                </pic:pic>
              </a:graphicData>
            </a:graphic>
          </wp:inline>
        </w:drawing>
      </w:r>
    </w:p>
    <w:p w14:paraId="73FE740A" w14:textId="040745A6" w:rsidR="00445435" w:rsidRDefault="00445435" w:rsidP="009249BE">
      <w:pPr>
        <w:jc w:val="center"/>
        <w:rPr>
          <w:b/>
          <w:bCs/>
        </w:rPr>
      </w:pPr>
      <w:bookmarkStart w:id="15" w:name="_Ref534369233"/>
      <w:r w:rsidRPr="00445435">
        <w:rPr>
          <w:b/>
          <w:bCs/>
        </w:rPr>
        <w:t xml:space="preserve">Figure </w:t>
      </w:r>
      <w:r w:rsidRPr="00445435">
        <w:rPr>
          <w:b/>
          <w:bCs/>
        </w:rPr>
        <w:fldChar w:fldCharType="begin"/>
      </w:r>
      <w:r w:rsidRPr="00445435">
        <w:rPr>
          <w:b/>
          <w:bCs/>
        </w:rPr>
        <w:instrText xml:space="preserve"> SEQ Figure \* ARABIC </w:instrText>
      </w:r>
      <w:r w:rsidRPr="00445435">
        <w:rPr>
          <w:b/>
          <w:bCs/>
        </w:rPr>
        <w:fldChar w:fldCharType="separate"/>
      </w:r>
      <w:r w:rsidR="00C9025C">
        <w:rPr>
          <w:b/>
          <w:bCs/>
          <w:noProof/>
        </w:rPr>
        <w:t>2</w:t>
      </w:r>
      <w:r w:rsidRPr="00445435">
        <w:rPr>
          <w:b/>
          <w:bCs/>
        </w:rPr>
        <w:fldChar w:fldCharType="end"/>
      </w:r>
      <w:bookmarkEnd w:id="15"/>
      <w:r w:rsidRPr="00445435">
        <w:rPr>
          <w:b/>
          <w:bCs/>
        </w:rPr>
        <w:t>: Histogram of maximum beam peak errors for a maximum misalignment error of 0.25</w:t>
      </w:r>
      <w:r w:rsidRPr="00445435">
        <w:rPr>
          <w:b/>
          <w:bCs/>
          <w:vertAlign w:val="superscript"/>
        </w:rPr>
        <w:t>o</w:t>
      </w:r>
      <w:r w:rsidRPr="00445435">
        <w:rPr>
          <w:b/>
          <w:bCs/>
        </w:rPr>
        <w:t>.</w:t>
      </w:r>
    </w:p>
    <w:p w14:paraId="6122CA8D" w14:textId="77777777" w:rsidR="004F24A6" w:rsidRDefault="009249BE" w:rsidP="009249BE">
      <w:r>
        <w:t>It is therefore proposed to define the standard</w:t>
      </w:r>
      <w:r w:rsidR="004F24A6">
        <w:t xml:space="preserve"> uncertainty of the “</w:t>
      </w:r>
      <w:r w:rsidR="004F24A6" w:rsidRPr="004F24A6">
        <w:t>Positioning misalignment</w:t>
      </w:r>
      <w:r w:rsidR="004F24A6">
        <w:t>” MU element for PC1 to be 0.02dB.</w:t>
      </w:r>
    </w:p>
    <w:p w14:paraId="16DC4A1F" w14:textId="6B24C6C3" w:rsidR="009249BE" w:rsidRDefault="004F24A6" w:rsidP="004F24A6">
      <w:pPr>
        <w:pStyle w:val="Caption"/>
      </w:pPr>
      <w:bookmarkStart w:id="16" w:name="_Ref31104987"/>
      <w:r>
        <w:t xml:space="preserve">Proposal </w:t>
      </w:r>
      <w:r>
        <w:fldChar w:fldCharType="begin"/>
      </w:r>
      <w:r>
        <w:instrText xml:space="preserve"> SEQ Proposal \* ARABIC </w:instrText>
      </w:r>
      <w:r>
        <w:fldChar w:fldCharType="separate"/>
      </w:r>
      <w:r w:rsidR="00C9025C">
        <w:rPr>
          <w:noProof/>
        </w:rPr>
        <w:t>6</w:t>
      </w:r>
      <w:r>
        <w:fldChar w:fldCharType="end"/>
      </w:r>
      <w:r>
        <w:t>: define the standard uncertainty of the “</w:t>
      </w:r>
      <w:r w:rsidRPr="004F24A6">
        <w:t>Positioning misalignment</w:t>
      </w:r>
      <w:r>
        <w:t>” MU element for PC1 to be 0.02dB</w:t>
      </w:r>
      <w:bookmarkEnd w:id="16"/>
    </w:p>
    <w:p w14:paraId="72B3BBF9" w14:textId="37F91DC3" w:rsidR="004F24A6" w:rsidRDefault="00CA1AB4" w:rsidP="004F24A6">
      <w:r>
        <w:t xml:space="preserve">The approach to determine the </w:t>
      </w:r>
      <w:r w:rsidRPr="00CA1AB4">
        <w:t xml:space="preserve">DUT repositioning </w:t>
      </w:r>
      <w:r>
        <w:t xml:space="preserve">for EIRP/EIS metrics is based on the approach outlined in </w:t>
      </w:r>
      <w:r w:rsidR="004A044F">
        <w:fldChar w:fldCharType="begin"/>
      </w:r>
      <w:r w:rsidR="004A044F">
        <w:instrText xml:space="preserve"> REF _Ref31098828 \n \h </w:instrText>
      </w:r>
      <w:r w:rsidR="004A044F">
        <w:fldChar w:fldCharType="separate"/>
      </w:r>
      <w:r w:rsidR="00C9025C">
        <w:t>[8]</w:t>
      </w:r>
      <w:r w:rsidR="004A044F">
        <w:fldChar w:fldCharType="end"/>
      </w:r>
      <w:r w:rsidR="004A044F">
        <w:t xml:space="preserve"> </w:t>
      </w:r>
      <w:r>
        <w:t xml:space="preserve">with a </w:t>
      </w:r>
      <w:r w:rsidRPr="00445435">
        <w:t xml:space="preserve">maximum deviation from the beam peak direction due to </w:t>
      </w:r>
      <w:r w:rsidR="004A044F">
        <w:t>DUT re-positioning</w:t>
      </w:r>
      <w:r w:rsidRPr="00445435">
        <w:t xml:space="preserve"> to be </w:t>
      </w:r>
      <w:r w:rsidR="004A044F">
        <w:t>1</w:t>
      </w:r>
      <w:r w:rsidRPr="00445435">
        <w:rPr>
          <w:vertAlign w:val="superscript"/>
        </w:rPr>
        <w:t>o</w:t>
      </w:r>
      <w:r>
        <w:t xml:space="preserve">. The simulation results shown in </w:t>
      </w:r>
      <w:r w:rsidR="004A044F">
        <w:fldChar w:fldCharType="begin"/>
      </w:r>
      <w:r w:rsidR="004A044F">
        <w:instrText xml:space="preserve"> REF _Ref31098959 \h </w:instrText>
      </w:r>
      <w:r w:rsidR="004A044F">
        <w:fldChar w:fldCharType="separate"/>
      </w:r>
      <w:r w:rsidR="00C9025C">
        <w:t xml:space="preserve">Figure </w:t>
      </w:r>
      <w:r w:rsidR="00C9025C">
        <w:rPr>
          <w:noProof/>
        </w:rPr>
        <w:t>3</w:t>
      </w:r>
      <w:r w:rsidR="004A044F">
        <w:fldChar w:fldCharType="end"/>
      </w:r>
      <w:r w:rsidR="004A044F">
        <w:t xml:space="preserve"> </w:t>
      </w:r>
      <w:r>
        <w:t xml:space="preserve">show that </w:t>
      </w:r>
      <w:r>
        <w:rPr>
          <w:rFonts w:eastAsia="Batang"/>
        </w:rPr>
        <w:t>the error based on the positioning misalignment is very small with maximum error between the theoretical beam peak and the pattern at the misaligned beam peak direction 0.</w:t>
      </w:r>
      <w:r w:rsidR="004A044F">
        <w:rPr>
          <w:rFonts w:eastAsia="Batang"/>
        </w:rPr>
        <w:t>35</w:t>
      </w:r>
      <w:r>
        <w:rPr>
          <w:rFonts w:eastAsia="Batang"/>
        </w:rPr>
        <w:t>dB.</w:t>
      </w:r>
    </w:p>
    <w:p w14:paraId="2459FE77" w14:textId="026869ED" w:rsidR="00CA1AB4" w:rsidRDefault="004A044F" w:rsidP="00CA1AB4">
      <w:pPr>
        <w:spacing w:after="0"/>
        <w:jc w:val="center"/>
      </w:pPr>
      <w:r w:rsidRPr="004A044F">
        <w:rPr>
          <w:noProof/>
        </w:rPr>
        <w:drawing>
          <wp:inline distT="0" distB="0" distL="0" distR="0" wp14:anchorId="682073F5" wp14:editId="6538FDF4">
            <wp:extent cx="4572000" cy="3423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423375"/>
                    </a:xfrm>
                    <a:prstGeom prst="rect">
                      <a:avLst/>
                    </a:prstGeom>
                    <a:noFill/>
                    <a:ln>
                      <a:noFill/>
                    </a:ln>
                  </pic:spPr>
                </pic:pic>
              </a:graphicData>
            </a:graphic>
          </wp:inline>
        </w:drawing>
      </w:r>
    </w:p>
    <w:p w14:paraId="2B83EC9B" w14:textId="607213C4" w:rsidR="00CA1AB4" w:rsidRDefault="00CA1AB4" w:rsidP="00CA1AB4">
      <w:pPr>
        <w:pStyle w:val="Caption"/>
        <w:spacing w:before="0"/>
        <w:jc w:val="center"/>
      </w:pPr>
      <w:bookmarkStart w:id="17" w:name="_Ref31098959"/>
      <w:r>
        <w:t xml:space="preserve">Figure </w:t>
      </w:r>
      <w:r>
        <w:fldChar w:fldCharType="begin"/>
      </w:r>
      <w:r>
        <w:instrText xml:space="preserve"> SEQ Figure \* ARABIC </w:instrText>
      </w:r>
      <w:r>
        <w:fldChar w:fldCharType="separate"/>
      </w:r>
      <w:r w:rsidR="00C9025C">
        <w:rPr>
          <w:noProof/>
        </w:rPr>
        <w:t>3</w:t>
      </w:r>
      <w:r>
        <w:fldChar w:fldCharType="end"/>
      </w:r>
      <w:bookmarkEnd w:id="17"/>
      <w:r>
        <w:t>: Histogram</w:t>
      </w:r>
      <w:r w:rsidRPr="001444E0">
        <w:t xml:space="preserve"> </w:t>
      </w:r>
      <w:r>
        <w:t>of maximum beam peak errors for a maximum misalignment error of 1</w:t>
      </w:r>
      <w:r w:rsidRPr="001444E0">
        <w:rPr>
          <w:vertAlign w:val="superscript"/>
        </w:rPr>
        <w:t>o</w:t>
      </w:r>
      <w:r>
        <w:t>.</w:t>
      </w:r>
    </w:p>
    <w:p w14:paraId="41CD79A5" w14:textId="287D9B85" w:rsidR="004A044F" w:rsidRDefault="004A044F" w:rsidP="004A044F">
      <w:pPr>
        <w:pStyle w:val="Caption"/>
      </w:pPr>
      <w:bookmarkStart w:id="18" w:name="_Ref31104992"/>
      <w:r>
        <w:lastRenderedPageBreak/>
        <w:t xml:space="preserve">Proposal </w:t>
      </w:r>
      <w:r>
        <w:fldChar w:fldCharType="begin"/>
      </w:r>
      <w:r>
        <w:instrText xml:space="preserve"> SEQ Proposal \* ARABIC </w:instrText>
      </w:r>
      <w:r>
        <w:fldChar w:fldCharType="separate"/>
      </w:r>
      <w:r w:rsidR="00C9025C">
        <w:rPr>
          <w:noProof/>
        </w:rPr>
        <w:t>7</w:t>
      </w:r>
      <w:r>
        <w:fldChar w:fldCharType="end"/>
      </w:r>
      <w:r>
        <w:t>: define the standard uncertainty of the “</w:t>
      </w:r>
      <w:r w:rsidRPr="004A044F">
        <w:t>DUT repositioning</w:t>
      </w:r>
      <w:r>
        <w:t>” MU element for PC1 to be 0.35dB for EIRP and EIS metrics</w:t>
      </w:r>
      <w:bookmarkEnd w:id="18"/>
    </w:p>
    <w:p w14:paraId="094316BA" w14:textId="627A5326" w:rsidR="009439E5" w:rsidRPr="00354167" w:rsidRDefault="009439E5" w:rsidP="009439E5">
      <w:pPr>
        <w:pStyle w:val="Heading1"/>
      </w:pPr>
      <w:r w:rsidRPr="00354167">
        <w:t xml:space="preserve">MU Elements dependent on </w:t>
      </w:r>
      <w:r>
        <w:t xml:space="preserve">DUT </w:t>
      </w:r>
      <w:r w:rsidRPr="00354167">
        <w:t xml:space="preserve">Antenna </w:t>
      </w:r>
      <w:r>
        <w:t>Gain</w:t>
      </w:r>
    </w:p>
    <w:p w14:paraId="1B105A5B" w14:textId="5639254A" w:rsidR="009439E5" w:rsidRDefault="009439E5" w:rsidP="009439E5">
      <w:r>
        <w:t xml:space="preserve">The MU elements depending on the DUT Antenna gain are </w:t>
      </w:r>
      <w:r w:rsidR="00AE4F0E">
        <w:t>primarily</w:t>
      </w:r>
      <w:r>
        <w:t xml:space="preserve"> related to the test equipment M</w:t>
      </w:r>
      <w:r w:rsidR="00AE4F0E">
        <w:t>U</w:t>
      </w:r>
      <w:r>
        <w:t>s</w:t>
      </w:r>
      <w:r w:rsidR="00AE4F0E">
        <w:t xml:space="preserve"> </w:t>
      </w:r>
      <w:r w:rsidR="003404F4">
        <w:t xml:space="preserve">and the Influence of Noise MUs </w:t>
      </w:r>
      <w:r w:rsidR="00AE4F0E">
        <w:t>since</w:t>
      </w:r>
      <w:r>
        <w:t xml:space="preserve"> the </w:t>
      </w:r>
      <w:r w:rsidR="00AE4F0E">
        <w:t xml:space="preserve">UL/DL power spectral density is changed due to the increase in DUT Antenna Gain. </w:t>
      </w:r>
      <w:r w:rsidR="00A76571">
        <w:t xml:space="preserve">As illustrated in </w:t>
      </w:r>
      <w:r w:rsidR="00A76571">
        <w:fldChar w:fldCharType="begin"/>
      </w:r>
      <w:r w:rsidR="00A76571">
        <w:instrText xml:space="preserve"> REF _Ref31056529 \h </w:instrText>
      </w:r>
      <w:r w:rsidR="00A76571">
        <w:fldChar w:fldCharType="separate"/>
      </w:r>
      <w:r w:rsidR="00C9025C" w:rsidRPr="00354167">
        <w:t xml:space="preserve">Figure </w:t>
      </w:r>
      <w:r w:rsidR="00C9025C">
        <w:rPr>
          <w:noProof/>
        </w:rPr>
        <w:t>1</w:t>
      </w:r>
      <w:r w:rsidR="00A76571">
        <w:fldChar w:fldCharType="end"/>
      </w:r>
      <w:r w:rsidR="00A76571">
        <w:t xml:space="preserve">, the difference in peak gain between antenna assumptions for PC3 (8x2) and PC1 (12x12) is </w:t>
      </w:r>
      <w:r w:rsidR="007C0BFC">
        <w:t xml:space="preserve">~10dB which is similar to the 12dB difference in the MOP (Max EIRP, TRP) requirements in </w:t>
      </w:r>
      <w:r w:rsidR="007C0BFC">
        <w:fldChar w:fldCharType="begin"/>
      </w:r>
      <w:r w:rsidR="007C0BFC">
        <w:instrText xml:space="preserve"> REF _Ref31103608 \n \h </w:instrText>
      </w:r>
      <w:r w:rsidR="007C0BFC">
        <w:fldChar w:fldCharType="separate"/>
      </w:r>
      <w:r w:rsidR="00C9025C">
        <w:t>[9]</w:t>
      </w:r>
      <w:r w:rsidR="007C0BFC">
        <w:fldChar w:fldCharType="end"/>
      </w:r>
      <w:r w:rsidR="007C0BFC">
        <w:t xml:space="preserve">. </w:t>
      </w:r>
    </w:p>
    <w:p w14:paraId="0667E445" w14:textId="340A5456" w:rsidR="003404F4" w:rsidRDefault="00DD3907" w:rsidP="009439E5">
      <w:r w:rsidRPr="00DD3907">
        <w:t>Given the difference power levels, another review of test equipment MUs</w:t>
      </w:r>
      <w:r>
        <w:t xml:space="preserve"> similar to</w:t>
      </w:r>
      <w:r w:rsidR="003404F4" w:rsidRPr="00DD3907">
        <w:t xml:space="preserve"> </w:t>
      </w:r>
      <w:r w:rsidR="003404F4" w:rsidRPr="00DD3907">
        <w:fldChar w:fldCharType="begin"/>
      </w:r>
      <w:r w:rsidR="003404F4" w:rsidRPr="00DD3907">
        <w:instrText xml:space="preserve"> REF _Ref31104265 \n \h </w:instrText>
      </w:r>
      <w:r w:rsidR="003B7F37" w:rsidRPr="00DD3907">
        <w:instrText xml:space="preserve"> \* MERGEFORMAT </w:instrText>
      </w:r>
      <w:r w:rsidR="003404F4" w:rsidRPr="00DD3907">
        <w:fldChar w:fldCharType="separate"/>
      </w:r>
      <w:r w:rsidR="00C9025C">
        <w:t>[10]</w:t>
      </w:r>
      <w:r w:rsidR="003404F4" w:rsidRPr="00DD3907">
        <w:fldChar w:fldCharType="end"/>
      </w:r>
      <w:r w:rsidR="003404F4" w:rsidRPr="00DD3907">
        <w:fldChar w:fldCharType="begin"/>
      </w:r>
      <w:r w:rsidR="003404F4" w:rsidRPr="00DD3907">
        <w:instrText xml:space="preserve"> REF _Ref31104267 \n \h </w:instrText>
      </w:r>
      <w:r w:rsidR="003B7F37" w:rsidRPr="00DD3907">
        <w:instrText xml:space="preserve"> \* MERGEFORMAT </w:instrText>
      </w:r>
      <w:r w:rsidR="003404F4" w:rsidRPr="00DD3907">
        <w:fldChar w:fldCharType="separate"/>
      </w:r>
      <w:r w:rsidR="00C9025C">
        <w:t>[11]</w:t>
      </w:r>
      <w:r w:rsidR="003404F4" w:rsidRPr="00DD3907">
        <w:fldChar w:fldCharType="end"/>
      </w:r>
      <w:r w:rsidR="003404F4" w:rsidRPr="00DD3907">
        <w:fldChar w:fldCharType="begin"/>
      </w:r>
      <w:r w:rsidR="003404F4" w:rsidRPr="00DD3907">
        <w:instrText xml:space="preserve"> REF _Ref31104268 \n \h </w:instrText>
      </w:r>
      <w:r w:rsidR="003B7F37" w:rsidRPr="00DD3907">
        <w:instrText xml:space="preserve"> \* MERGEFORMAT </w:instrText>
      </w:r>
      <w:r w:rsidR="003404F4" w:rsidRPr="00DD3907">
        <w:fldChar w:fldCharType="separate"/>
      </w:r>
      <w:r w:rsidR="00C9025C">
        <w:t>[12]</w:t>
      </w:r>
      <w:r w:rsidR="003404F4" w:rsidRPr="00DD3907">
        <w:fldChar w:fldCharType="end"/>
      </w:r>
      <w:r>
        <w:t xml:space="preserve"> for PC1 </w:t>
      </w:r>
      <w:r w:rsidRPr="00DD3907">
        <w:t>is needed</w:t>
      </w:r>
      <w:r>
        <w:t xml:space="preserve"> </w:t>
      </w:r>
      <w:r w:rsidRPr="00DD3907">
        <w:t xml:space="preserve">for RF power measurement and gNB emulator uncertainty. </w:t>
      </w:r>
      <w:r w:rsidR="00B85DD7">
        <w:t xml:space="preserve">Similarly, the following MU elements are dependent on the power levels and thus the DUT antenna gain and </w:t>
      </w:r>
      <w:r w:rsidR="00C9025C">
        <w:t xml:space="preserve">therefore </w:t>
      </w:r>
      <w:r w:rsidR="00B85DD7">
        <w:t>need to be re-evaluated as well</w:t>
      </w:r>
    </w:p>
    <w:p w14:paraId="101545A3" w14:textId="77777777" w:rsidR="00B85DD7" w:rsidRPr="00B85DD7" w:rsidRDefault="00B85DD7" w:rsidP="00B85DD7">
      <w:pPr>
        <w:pStyle w:val="ListParagraph"/>
        <w:rPr>
          <w:lang w:val="en-GB"/>
        </w:rPr>
      </w:pPr>
      <w:r w:rsidRPr="00B85DD7">
        <w:rPr>
          <w:lang w:val="en-GB"/>
        </w:rPr>
        <w:t>Mismatch</w:t>
      </w:r>
    </w:p>
    <w:p w14:paraId="080D28E2" w14:textId="77777777" w:rsidR="00B85DD7" w:rsidRPr="00B85DD7" w:rsidRDefault="00B85DD7" w:rsidP="00B85DD7">
      <w:pPr>
        <w:pStyle w:val="ListParagraph"/>
        <w:rPr>
          <w:lang w:val="en-GB"/>
        </w:rPr>
      </w:pPr>
      <w:r w:rsidRPr="00B85DD7">
        <w:rPr>
          <w:lang w:val="en-GB"/>
        </w:rPr>
        <w:t>Amplifier Uncertainties</w:t>
      </w:r>
    </w:p>
    <w:p w14:paraId="4FF06045" w14:textId="77777777" w:rsidR="00B85DD7" w:rsidRPr="00B85DD7" w:rsidRDefault="00B85DD7" w:rsidP="00B85DD7">
      <w:pPr>
        <w:pStyle w:val="ListParagraph"/>
        <w:rPr>
          <w:lang w:val="en-GB"/>
        </w:rPr>
      </w:pPr>
      <w:r w:rsidRPr="00B85DD7">
        <w:rPr>
          <w:lang w:val="en-GB"/>
        </w:rPr>
        <w:t>Insertion Loss Variation</w:t>
      </w:r>
    </w:p>
    <w:p w14:paraId="53AA1F11" w14:textId="77777777" w:rsidR="00B85DD7" w:rsidRPr="00B85DD7" w:rsidRDefault="00B85DD7" w:rsidP="00B85DD7">
      <w:pPr>
        <w:pStyle w:val="ListParagraph"/>
        <w:rPr>
          <w:lang w:val="en-GB"/>
        </w:rPr>
      </w:pPr>
      <w:r w:rsidRPr="00B85DD7">
        <w:rPr>
          <w:lang w:val="en-GB"/>
        </w:rPr>
        <w:t>RF leakage (from measurement antenna to the receiver/transmitter)</w:t>
      </w:r>
    </w:p>
    <w:p w14:paraId="3B16857A" w14:textId="5194FF0A" w:rsidR="00DD3907" w:rsidRDefault="00DD3907" w:rsidP="00B85DD7">
      <w:pPr>
        <w:pStyle w:val="Caption"/>
      </w:pPr>
      <w:bookmarkStart w:id="19" w:name="_Ref39821847"/>
      <w:bookmarkStart w:id="20" w:name="_Ref31104997"/>
      <w:r w:rsidRPr="00DD3907">
        <w:t xml:space="preserve">Proposal </w:t>
      </w:r>
      <w:r w:rsidRPr="00DD3907">
        <w:fldChar w:fldCharType="begin"/>
      </w:r>
      <w:r w:rsidRPr="00DD3907">
        <w:instrText xml:space="preserve"> SEQ Proposal \* ARABIC </w:instrText>
      </w:r>
      <w:r w:rsidRPr="00DD3907">
        <w:fldChar w:fldCharType="separate"/>
      </w:r>
      <w:r w:rsidR="00C9025C">
        <w:rPr>
          <w:noProof/>
        </w:rPr>
        <w:t>8</w:t>
      </w:r>
      <w:r w:rsidRPr="00DD3907">
        <w:fldChar w:fldCharType="end"/>
      </w:r>
      <w:r w:rsidRPr="00DD3907">
        <w:t>: Re-evaluate the MU values for the following list of MU elements for PC1: Uncertainty of the RF power measurement equipment, gNB emulator uncertainty</w:t>
      </w:r>
      <w:r w:rsidR="00B85DD7">
        <w:t>, Mismatch, Amplifier Uncertainties, Insertion Loss Variation, RF leakage (from measurement antenna to the receiver/transmitter)</w:t>
      </w:r>
      <w:bookmarkEnd w:id="19"/>
    </w:p>
    <w:bookmarkEnd w:id="20"/>
    <w:p w14:paraId="5E2A3754" w14:textId="13A61995" w:rsidR="009A63AD" w:rsidRDefault="009A63AD" w:rsidP="009A63AD">
      <w:r>
        <w:t xml:space="preserve">The Influence of Noise MU values need to be re-investigated using the updated DUT antenna gain assumptions. For spherical coverage MU evaluation, UE vendors need to </w:t>
      </w:r>
      <w:r w:rsidR="00853CDF">
        <w:t>“</w:t>
      </w:r>
      <w:r>
        <w:t xml:space="preserve">provide </w:t>
      </w:r>
      <w:r w:rsidRPr="009A63AD">
        <w:t>an acceptable assumption for the CDF curve for Maximum Output Power (EIRP spherical coverage)</w:t>
      </w:r>
      <w:r w:rsidR="00853CDF">
        <w:t>”</w:t>
      </w:r>
      <w:r>
        <w:t xml:space="preserve"> (quote from AP#82.22).</w:t>
      </w:r>
    </w:p>
    <w:p w14:paraId="2E848088" w14:textId="6D919C0D" w:rsidR="009A63AD" w:rsidRPr="009A63AD" w:rsidRDefault="009A63AD" w:rsidP="009A63AD">
      <w:pPr>
        <w:pStyle w:val="Caption"/>
      </w:pPr>
      <w:bookmarkStart w:id="21" w:name="_Ref31105740"/>
      <w:r>
        <w:t xml:space="preserve">Proposal </w:t>
      </w:r>
      <w:r>
        <w:fldChar w:fldCharType="begin"/>
      </w:r>
      <w:r>
        <w:instrText xml:space="preserve"> SEQ Proposal \* ARABIC </w:instrText>
      </w:r>
      <w:r>
        <w:fldChar w:fldCharType="separate"/>
      </w:r>
      <w:r w:rsidR="00C9025C">
        <w:rPr>
          <w:noProof/>
        </w:rPr>
        <w:t>9</w:t>
      </w:r>
      <w:r>
        <w:fldChar w:fldCharType="end"/>
      </w:r>
      <w:r>
        <w:t xml:space="preserve">: </w:t>
      </w:r>
      <w:r w:rsidR="00853CDF">
        <w:t xml:space="preserve">Create an Action Point to UE vendors to </w:t>
      </w:r>
      <w:r w:rsidR="00853CDF" w:rsidRPr="00853CDF">
        <w:t xml:space="preserve">provide an acceptable </w:t>
      </w:r>
      <w:r w:rsidR="00853CDF">
        <w:t xml:space="preserve">PC1 </w:t>
      </w:r>
      <w:r w:rsidR="00853CDF" w:rsidRPr="00853CDF">
        <w:t xml:space="preserve">assumption for the CDF curve for </w:t>
      </w:r>
      <w:r w:rsidR="00207F74">
        <w:t>MOP</w:t>
      </w:r>
      <w:r w:rsidR="00853CDF" w:rsidRPr="00853CDF">
        <w:t xml:space="preserve"> EIRP spherical coverage</w:t>
      </w:r>
      <w:bookmarkEnd w:id="21"/>
      <w:r w:rsidR="00853CDF" w:rsidRPr="00853CDF">
        <w:t xml:space="preserve"> </w:t>
      </w:r>
    </w:p>
    <w:p w14:paraId="1C8F2EC6" w14:textId="09D4BB90" w:rsidR="00583627" w:rsidRPr="00354167" w:rsidRDefault="00583627" w:rsidP="00583627">
      <w:pPr>
        <w:pStyle w:val="Heading1"/>
        <w:ind w:left="567" w:hanging="567"/>
      </w:pPr>
      <w:r w:rsidRPr="00354167">
        <w:t xml:space="preserve">MU Elements independent on </w:t>
      </w:r>
      <w:r w:rsidR="009439E5">
        <w:t xml:space="preserve">DUT </w:t>
      </w:r>
      <w:r w:rsidRPr="00354167">
        <w:t>Antenna Pattern and Gain</w:t>
      </w:r>
    </w:p>
    <w:p w14:paraId="2DC9EDBF" w14:textId="1B3F9790" w:rsidR="00E556C7" w:rsidRPr="00354167" w:rsidRDefault="00583627" w:rsidP="00583627">
      <w:r w:rsidRPr="00354167">
        <w:t>The following list of MU elements should be considered independent on Antenna Pattern and respective gain/directivity and should therefore be re-used from the PC3 MU tables:</w:t>
      </w:r>
    </w:p>
    <w:p w14:paraId="71A62615" w14:textId="3F05F607" w:rsidR="00583627" w:rsidRPr="00354167" w:rsidRDefault="00583627" w:rsidP="00583627">
      <w:pPr>
        <w:pStyle w:val="ListParagraph"/>
        <w:rPr>
          <w:lang w:val="en-GB"/>
        </w:rPr>
      </w:pPr>
      <w:r w:rsidRPr="00354167">
        <w:rPr>
          <w:lang w:val="en-GB"/>
        </w:rPr>
        <w:t>Measure Distance Uncertainty</w:t>
      </w:r>
    </w:p>
    <w:p w14:paraId="59AE9294" w14:textId="13ABD0E1" w:rsidR="00583627" w:rsidRPr="00354167" w:rsidRDefault="00583627" w:rsidP="00583627">
      <w:pPr>
        <w:pStyle w:val="ListParagraph"/>
        <w:rPr>
          <w:lang w:val="en-GB"/>
        </w:rPr>
      </w:pPr>
      <w:r w:rsidRPr="00354167">
        <w:rPr>
          <w:lang w:val="en-GB"/>
        </w:rPr>
        <w:t>Standing wave between the DUT and measurement antenna</w:t>
      </w:r>
    </w:p>
    <w:p w14:paraId="417916CA" w14:textId="1726AE9A" w:rsidR="00583627" w:rsidRPr="00354167" w:rsidRDefault="00583627" w:rsidP="00583627">
      <w:pPr>
        <w:pStyle w:val="ListParagraph"/>
        <w:rPr>
          <w:lang w:val="en-GB"/>
        </w:rPr>
      </w:pPr>
      <w:r w:rsidRPr="00354167">
        <w:rPr>
          <w:lang w:val="en-GB"/>
        </w:rPr>
        <w:t>Phase curvature</w:t>
      </w:r>
    </w:p>
    <w:p w14:paraId="0C1F3427" w14:textId="1E00945E" w:rsidR="00583627" w:rsidRPr="00354167" w:rsidRDefault="00583627" w:rsidP="00583627">
      <w:pPr>
        <w:pStyle w:val="ListParagraph"/>
        <w:rPr>
          <w:lang w:val="en-GB"/>
        </w:rPr>
      </w:pPr>
      <w:r w:rsidRPr="00354167">
        <w:rPr>
          <w:lang w:val="en-GB"/>
        </w:rPr>
        <w:t>Random Uncertainty</w:t>
      </w:r>
    </w:p>
    <w:p w14:paraId="1748A082" w14:textId="323324F0" w:rsidR="00656822" w:rsidRPr="00354167" w:rsidRDefault="00354167" w:rsidP="00583627">
      <w:pPr>
        <w:pStyle w:val="ListParagraph"/>
        <w:rPr>
          <w:lang w:val="en-GB"/>
        </w:rPr>
      </w:pPr>
      <w:r w:rsidRPr="00354167">
        <w:rPr>
          <w:lang w:val="en-GB"/>
        </w:rPr>
        <w:t>Influence of XPD</w:t>
      </w:r>
    </w:p>
    <w:p w14:paraId="12D14D53" w14:textId="53F73873" w:rsidR="00445435" w:rsidRPr="00354167" w:rsidRDefault="00445435" w:rsidP="00583627">
      <w:pPr>
        <w:pStyle w:val="ListParagraph"/>
        <w:rPr>
          <w:lang w:val="en-GB"/>
        </w:rPr>
      </w:pPr>
      <w:r w:rsidRPr="00445435">
        <w:rPr>
          <w:lang w:val="en-GB"/>
        </w:rPr>
        <w:t>DUT repositioning (TRP, spherical coverage)</w:t>
      </w:r>
      <w:r>
        <w:rPr>
          <w:lang w:val="en-GB"/>
        </w:rPr>
        <w:t>: already included in the measurement grid MU</w:t>
      </w:r>
    </w:p>
    <w:p w14:paraId="30290187" w14:textId="7F14F23C" w:rsidR="00354167" w:rsidRPr="00354167" w:rsidRDefault="00354167" w:rsidP="00583627">
      <w:pPr>
        <w:pStyle w:val="ListParagraph"/>
        <w:rPr>
          <w:lang w:val="en-GB"/>
        </w:rPr>
      </w:pPr>
      <w:r w:rsidRPr="00354167">
        <w:rPr>
          <w:lang w:val="en-GB"/>
        </w:rPr>
        <w:t>Multiple measurement antenna uncertainty</w:t>
      </w:r>
    </w:p>
    <w:p w14:paraId="619DD5B7" w14:textId="16124BA9" w:rsidR="00354167" w:rsidRPr="00354167" w:rsidRDefault="00354167" w:rsidP="00583627">
      <w:pPr>
        <w:pStyle w:val="ListParagraph"/>
        <w:rPr>
          <w:lang w:val="en-GB"/>
        </w:rPr>
      </w:pPr>
      <w:r w:rsidRPr="00354167">
        <w:rPr>
          <w:lang w:val="en-GB"/>
        </w:rPr>
        <w:t>Uncertainty of the absolute gain of the calibration antenna</w:t>
      </w:r>
    </w:p>
    <w:p w14:paraId="56ED3F5A" w14:textId="08C5CED0" w:rsidR="00354167" w:rsidRPr="00354167" w:rsidRDefault="00354167" w:rsidP="00583627">
      <w:pPr>
        <w:pStyle w:val="ListParagraph"/>
        <w:rPr>
          <w:lang w:val="en-GB"/>
        </w:rPr>
      </w:pPr>
      <w:r w:rsidRPr="00354167">
        <w:rPr>
          <w:lang w:val="en-GB"/>
        </w:rPr>
        <w:t>Phase centre offset of calibration antenna</w:t>
      </w:r>
    </w:p>
    <w:p w14:paraId="7DFDB88B" w14:textId="4B959FAD" w:rsidR="00354167" w:rsidRDefault="00354167" w:rsidP="00583627">
      <w:pPr>
        <w:pStyle w:val="ListParagraph"/>
        <w:rPr>
          <w:lang w:val="en-GB"/>
        </w:rPr>
      </w:pPr>
      <w:r w:rsidRPr="00354167">
        <w:rPr>
          <w:lang w:val="en-GB"/>
        </w:rPr>
        <w:t>Standing wave between reference calibration antenna and measurement antenna</w:t>
      </w:r>
    </w:p>
    <w:p w14:paraId="3C84E2B2" w14:textId="41433525" w:rsidR="00B85DD7" w:rsidRPr="00B85DD7" w:rsidRDefault="00354167" w:rsidP="00B85DD7">
      <w:pPr>
        <w:pStyle w:val="ListParagraph"/>
        <w:rPr>
          <w:lang w:val="en-GB"/>
        </w:rPr>
      </w:pPr>
      <w:r w:rsidRPr="00354167">
        <w:rPr>
          <w:lang w:val="en-GB"/>
        </w:rPr>
        <w:t>Influence of the calibration antenna feed cable</w:t>
      </w:r>
    </w:p>
    <w:p w14:paraId="2BD54F5F" w14:textId="5BDDB132" w:rsidR="007C0BFC" w:rsidRDefault="007C0BFC" w:rsidP="007C0BFC">
      <w:r>
        <w:t>Is therefore proposed to re-use the MU values</w:t>
      </w:r>
      <w:r w:rsidR="003404F4">
        <w:t xml:space="preserve"> from PC3 for the above list of MU elements for PC1.</w:t>
      </w:r>
      <w:r w:rsidR="00C9025C" w:rsidRPr="00C9025C">
        <w:t xml:space="preserve"> </w:t>
      </w:r>
      <w:r w:rsidR="00C9025C">
        <w:t>Similarly, t</w:t>
      </w:r>
      <w:r w:rsidR="00C9025C" w:rsidRPr="00DD3907">
        <w:t>he Network Analyzer MU for PC1 should re-use the test equipment MUs for PC3 since it is independent of the UE antenna assumption.</w:t>
      </w:r>
    </w:p>
    <w:p w14:paraId="0B30581B" w14:textId="601A8102" w:rsidR="003404F4" w:rsidDel="00DC687B" w:rsidRDefault="003404F4" w:rsidP="003404F4">
      <w:pPr>
        <w:pStyle w:val="Caption"/>
        <w:rPr>
          <w:del w:id="22" w:author="Thorsten Hertel (KEYS)" w:date="2020-05-25T07:19:00Z"/>
        </w:rPr>
      </w:pPr>
      <w:bookmarkStart w:id="23" w:name="_Ref31105002"/>
      <w:del w:id="24" w:author="Thorsten Hertel (KEYS)" w:date="2020-05-25T07:19:00Z">
        <w:r w:rsidDel="00DC687B">
          <w:delText xml:space="preserve">Proposal </w:delText>
        </w:r>
        <w:r w:rsidDel="00DC687B">
          <w:fldChar w:fldCharType="begin"/>
        </w:r>
        <w:r w:rsidDel="00DC687B">
          <w:delInstrText xml:space="preserve"> SEQ Proposal \* ARABIC </w:delInstrText>
        </w:r>
        <w:r w:rsidDel="00DC687B">
          <w:fldChar w:fldCharType="separate"/>
        </w:r>
        <w:r w:rsidR="00C9025C" w:rsidDel="00DC687B">
          <w:rPr>
            <w:noProof/>
          </w:rPr>
          <w:delText>10</w:delText>
        </w:r>
        <w:r w:rsidDel="00DC687B">
          <w:fldChar w:fldCharType="end"/>
        </w:r>
        <w:r w:rsidDel="00DC687B">
          <w:delText xml:space="preserve">: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w:delText>
        </w:r>
        <w:r w:rsidDel="00DC687B">
          <w:lastRenderedPageBreak/>
          <w:delText>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delText>
        </w:r>
        <w:bookmarkEnd w:id="23"/>
      </w:del>
    </w:p>
    <w:p w14:paraId="217D189C" w14:textId="3264735A" w:rsidR="00C9025C" w:rsidDel="00DC687B" w:rsidRDefault="00C9025C" w:rsidP="00C9025C">
      <w:pPr>
        <w:pStyle w:val="Caption"/>
        <w:rPr>
          <w:del w:id="25" w:author="Thorsten Hertel (KEYS)" w:date="2020-05-25T07:19:00Z"/>
        </w:rPr>
      </w:pPr>
      <w:bookmarkStart w:id="26" w:name="_Ref39821848"/>
      <w:del w:id="27" w:author="Thorsten Hertel (KEYS)" w:date="2020-05-25T07:19:00Z">
        <w:r w:rsidDel="00DC687B">
          <w:delText xml:space="preserve">Proposal </w:delText>
        </w:r>
        <w:r w:rsidDel="00DC687B">
          <w:fldChar w:fldCharType="begin"/>
        </w:r>
        <w:r w:rsidDel="00DC687B">
          <w:delInstrText xml:space="preserve"> SEQ Proposal \* ARABIC </w:delInstrText>
        </w:r>
        <w:r w:rsidDel="00DC687B">
          <w:fldChar w:fldCharType="separate"/>
        </w:r>
        <w:r w:rsidDel="00DC687B">
          <w:rPr>
            <w:noProof/>
          </w:rPr>
          <w:delText>11</w:delText>
        </w:r>
        <w:r w:rsidDel="00DC687B">
          <w:fldChar w:fldCharType="end"/>
        </w:r>
        <w:r w:rsidDel="00DC687B">
          <w:delText xml:space="preserve">: Re-use the test equipment MU value from PC3 for the </w:delText>
        </w:r>
        <w:r w:rsidRPr="00F421FD" w:rsidDel="00DC687B">
          <w:delText>Uncertainty of the Network Analyzer</w:delText>
        </w:r>
        <w:bookmarkEnd w:id="26"/>
      </w:del>
    </w:p>
    <w:p w14:paraId="0C047159" w14:textId="77777777" w:rsidR="00C9025C" w:rsidRPr="00C9025C" w:rsidRDefault="00C9025C" w:rsidP="00C9025C"/>
    <w:bookmarkEnd w:id="2"/>
    <w:p w14:paraId="35952390" w14:textId="77777777" w:rsidR="008B0529" w:rsidRPr="00354167" w:rsidRDefault="0053435C" w:rsidP="0053435C">
      <w:pPr>
        <w:pStyle w:val="Heading1"/>
        <w:ind w:left="567" w:hanging="567"/>
      </w:pPr>
      <w:r w:rsidRPr="00354167">
        <w:t>Conclusion</w:t>
      </w:r>
    </w:p>
    <w:p w14:paraId="35952391" w14:textId="5A0C2A6B" w:rsidR="008B0529" w:rsidRDefault="0053435C" w:rsidP="008B0529">
      <w:r w:rsidRPr="00354167">
        <w:t>The following observations and proposals were made in this contribution</w:t>
      </w:r>
    </w:p>
    <w:p w14:paraId="1FC41FFE" w14:textId="344FB163" w:rsidR="00696304" w:rsidRPr="00696304" w:rsidRDefault="00696304" w:rsidP="008B0529">
      <w:pPr>
        <w:rPr>
          <w:b/>
          <w:bCs/>
        </w:rPr>
      </w:pPr>
      <w:r w:rsidRPr="00696304">
        <w:rPr>
          <w:b/>
          <w:bCs/>
        </w:rPr>
        <w:fldChar w:fldCharType="begin"/>
      </w:r>
      <w:r w:rsidRPr="00696304">
        <w:rPr>
          <w:b/>
          <w:bCs/>
        </w:rPr>
        <w:instrText xml:space="preserve"> REF _Ref31104953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w:t>
      </w:r>
      <w:r w:rsidR="00C9025C" w:rsidRPr="00C9025C">
        <w:rPr>
          <w:b/>
          <w:bCs/>
        </w:rPr>
        <w:t>: define the PC1 MU element “Influence of TRP measurement grid” with a standard uncertainty of 0.25dB with the systematic error of PC1 MU element “Systematic error due to TRP calculation/quadrature” set to 0</w:t>
      </w:r>
      <w:r w:rsidRPr="00696304">
        <w:rPr>
          <w:b/>
          <w:bCs/>
        </w:rPr>
        <w:fldChar w:fldCharType="end"/>
      </w:r>
    </w:p>
    <w:p w14:paraId="718ED41C" w14:textId="4E5EBF6C" w:rsidR="00696304" w:rsidRPr="00696304" w:rsidRDefault="00696304" w:rsidP="008B0529">
      <w:pPr>
        <w:rPr>
          <w:b/>
          <w:bCs/>
        </w:rPr>
      </w:pPr>
      <w:r w:rsidRPr="00696304">
        <w:rPr>
          <w:b/>
          <w:bCs/>
        </w:rPr>
        <w:fldChar w:fldCharType="begin"/>
      </w:r>
      <w:r w:rsidRPr="00696304">
        <w:rPr>
          <w:b/>
          <w:bCs/>
        </w:rPr>
        <w:instrText xml:space="preserve"> REF _Ref31104960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2</w:t>
      </w:r>
      <w:r w:rsidR="00C9025C" w:rsidRPr="00C9025C">
        <w:rPr>
          <w:b/>
          <w:bCs/>
        </w:rPr>
        <w:t>: define the systematic error of PC1 MU element “Systematic error related to beam peak search” to be 0.7dB.</w:t>
      </w:r>
      <w:r w:rsidRPr="00696304">
        <w:rPr>
          <w:b/>
          <w:bCs/>
        </w:rPr>
        <w:fldChar w:fldCharType="end"/>
      </w:r>
    </w:p>
    <w:p w14:paraId="1AEB7FAB" w14:textId="3042A7C7" w:rsidR="00696304" w:rsidRPr="00696304" w:rsidRDefault="00696304" w:rsidP="008B0529">
      <w:pPr>
        <w:rPr>
          <w:b/>
          <w:bCs/>
        </w:rPr>
      </w:pPr>
      <w:r w:rsidRPr="00696304">
        <w:rPr>
          <w:b/>
          <w:bCs/>
        </w:rPr>
        <w:fldChar w:fldCharType="begin"/>
      </w:r>
      <w:r w:rsidRPr="00696304">
        <w:rPr>
          <w:b/>
          <w:bCs/>
        </w:rPr>
        <w:instrText xml:space="preserve"> REF _Ref31104966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3</w:t>
      </w:r>
      <w:r w:rsidR="00C9025C" w:rsidRPr="00C9025C">
        <w:rPr>
          <w:b/>
          <w:bCs/>
        </w:rPr>
        <w:t xml:space="preserve">: define the PC1 MU element “Influence of spherical coverage grid” with a standard uncertainty of </w:t>
      </w:r>
      <w:ins w:id="28" w:author="Thorsten Hertel (KEYS)" w:date="2020-05-25T07:20:00Z">
        <w:r w:rsidR="00DC687B">
          <w:rPr>
            <w:b/>
            <w:bCs/>
          </w:rPr>
          <w:t>[</w:t>
        </w:r>
      </w:ins>
      <w:r w:rsidR="00C9025C" w:rsidRPr="00C9025C">
        <w:rPr>
          <w:b/>
          <w:bCs/>
        </w:rPr>
        <w:t>0.05dB</w:t>
      </w:r>
      <w:ins w:id="29" w:author="Thorsten Hertel (KEYS)" w:date="2020-05-25T07:20:00Z">
        <w:r w:rsidR="00DC687B">
          <w:rPr>
            <w:b/>
            <w:bCs/>
          </w:rPr>
          <w:t>]</w:t>
        </w:r>
      </w:ins>
      <w:r w:rsidR="00C9025C" w:rsidRPr="00C9025C">
        <w:rPr>
          <w:b/>
          <w:bCs/>
        </w:rPr>
        <w:t xml:space="preserve"> with the systematic error of PC1 MU element “Systematic error related to EIS spherical coverage” set to 0.2dB</w:t>
      </w:r>
      <w:r w:rsidRPr="00696304">
        <w:rPr>
          <w:b/>
          <w:bCs/>
        </w:rPr>
        <w:fldChar w:fldCharType="end"/>
      </w:r>
    </w:p>
    <w:p w14:paraId="1813B016" w14:textId="2B606D5F" w:rsidR="00696304" w:rsidRPr="00696304" w:rsidRDefault="00696304" w:rsidP="008B0529">
      <w:pPr>
        <w:rPr>
          <w:b/>
          <w:bCs/>
        </w:rPr>
      </w:pPr>
      <w:r w:rsidRPr="00696304">
        <w:rPr>
          <w:b/>
          <w:bCs/>
        </w:rPr>
        <w:fldChar w:fldCharType="begin"/>
      </w:r>
      <w:r w:rsidRPr="00696304">
        <w:rPr>
          <w:b/>
          <w:bCs/>
        </w:rPr>
        <w:instrText xml:space="preserve"> REF _Ref31104973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4: </w:t>
      </w:r>
      <w:r w:rsidR="00C9025C" w:rsidRPr="00C9025C">
        <w:rPr>
          <w:b/>
          <w:bCs/>
        </w:rPr>
        <w:t>Use the existing QoQZ validations outlined in [4], specifically Annex O, for PC1 devices</w:t>
      </w:r>
      <w:r w:rsidRPr="00696304">
        <w:rPr>
          <w:b/>
          <w:bCs/>
        </w:rPr>
        <w:fldChar w:fldCharType="end"/>
      </w:r>
    </w:p>
    <w:p w14:paraId="2FA0E8EC" w14:textId="42D51218" w:rsidR="00696304" w:rsidRPr="00696304" w:rsidRDefault="00696304" w:rsidP="008B0529">
      <w:pPr>
        <w:rPr>
          <w:b/>
          <w:bCs/>
        </w:rPr>
      </w:pPr>
      <w:r w:rsidRPr="00696304">
        <w:rPr>
          <w:b/>
          <w:bCs/>
        </w:rPr>
        <w:fldChar w:fldCharType="begin"/>
      </w:r>
      <w:r w:rsidRPr="00696304">
        <w:rPr>
          <w:b/>
          <w:bCs/>
        </w:rPr>
        <w:instrText xml:space="preserve"> REF _Ref31104978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5: </w:t>
      </w:r>
      <w:r w:rsidR="00C9025C" w:rsidRPr="00C9025C">
        <w:rPr>
          <w:b/>
          <w:bCs/>
        </w:rPr>
        <w:t>Apply the QoQZ MU values agreed for PC3 [5] to PC1</w:t>
      </w:r>
      <w:r w:rsidRPr="00696304">
        <w:rPr>
          <w:b/>
          <w:bCs/>
        </w:rPr>
        <w:fldChar w:fldCharType="end"/>
      </w:r>
    </w:p>
    <w:p w14:paraId="6A5B1837" w14:textId="1741EDEF" w:rsidR="00696304" w:rsidRPr="00696304" w:rsidRDefault="00696304" w:rsidP="008B0529">
      <w:pPr>
        <w:rPr>
          <w:b/>
          <w:bCs/>
        </w:rPr>
      </w:pPr>
      <w:r w:rsidRPr="00696304">
        <w:rPr>
          <w:b/>
          <w:bCs/>
        </w:rPr>
        <w:fldChar w:fldCharType="begin"/>
      </w:r>
      <w:r w:rsidRPr="00696304">
        <w:rPr>
          <w:b/>
          <w:bCs/>
        </w:rPr>
        <w:instrText xml:space="preserve"> REF _Ref31104987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6</w:t>
      </w:r>
      <w:r w:rsidR="00C9025C" w:rsidRPr="00C9025C">
        <w:rPr>
          <w:b/>
          <w:bCs/>
        </w:rPr>
        <w:t>: define the standard uncertainty of the “Positioning misalignment” MU element for PC1 to be 0.02dB</w:t>
      </w:r>
      <w:r w:rsidRPr="00696304">
        <w:rPr>
          <w:b/>
          <w:bCs/>
        </w:rPr>
        <w:fldChar w:fldCharType="end"/>
      </w:r>
    </w:p>
    <w:p w14:paraId="56435D7F" w14:textId="45AD15FD" w:rsidR="00696304" w:rsidRPr="00696304" w:rsidRDefault="00696304" w:rsidP="008B0529">
      <w:pPr>
        <w:rPr>
          <w:b/>
          <w:bCs/>
        </w:rPr>
      </w:pPr>
      <w:r w:rsidRPr="00696304">
        <w:rPr>
          <w:b/>
          <w:bCs/>
        </w:rPr>
        <w:fldChar w:fldCharType="begin"/>
      </w:r>
      <w:r w:rsidRPr="00696304">
        <w:rPr>
          <w:b/>
          <w:bCs/>
        </w:rPr>
        <w:instrText xml:space="preserve"> REF _Ref31104992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7</w:t>
      </w:r>
      <w:r w:rsidR="00C9025C" w:rsidRPr="00C9025C">
        <w:rPr>
          <w:b/>
          <w:bCs/>
        </w:rPr>
        <w:t>: define the standard uncertainty of the “DUT repositioning” MU element for PC1 to be 0.35dB for EIRP and EIS metrics</w:t>
      </w:r>
      <w:r w:rsidRPr="00696304">
        <w:rPr>
          <w:b/>
          <w:bCs/>
        </w:rPr>
        <w:fldChar w:fldCharType="end"/>
      </w:r>
    </w:p>
    <w:p w14:paraId="03A2C245" w14:textId="670E7743" w:rsidR="00696304" w:rsidRPr="00696304" w:rsidRDefault="00696304" w:rsidP="008B0529">
      <w:pPr>
        <w:rPr>
          <w:b/>
          <w:bCs/>
        </w:rPr>
      </w:pPr>
      <w:r w:rsidRPr="00696304">
        <w:rPr>
          <w:b/>
          <w:bCs/>
        </w:rPr>
        <w:fldChar w:fldCharType="begin"/>
      </w:r>
      <w:r w:rsidRPr="00696304">
        <w:rPr>
          <w:b/>
          <w:bCs/>
        </w:rPr>
        <w:instrText xml:space="preserve"> REF _Ref39821847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8</w:t>
      </w:r>
      <w:r w:rsidR="00C9025C" w:rsidRPr="00C9025C">
        <w:rPr>
          <w:b/>
          <w:bCs/>
        </w:rPr>
        <w:t>: Re-evaluate the MU values for the following list of MU elements for PC1: Uncertainty of the RF power measurement equipment, gNB emulator uncertainty, Mismatch, Amplifier Uncertainties, Insertion Loss Variation, RF leakage (from measurement antenna to the receiver/transmitter)</w:t>
      </w:r>
      <w:r w:rsidRPr="00696304">
        <w:rPr>
          <w:b/>
          <w:bCs/>
        </w:rPr>
        <w:fldChar w:fldCharType="end"/>
      </w:r>
    </w:p>
    <w:p w14:paraId="5638EC49" w14:textId="25DAD374" w:rsidR="00696304" w:rsidRPr="00696304" w:rsidRDefault="00696304" w:rsidP="008B0529">
      <w:pPr>
        <w:rPr>
          <w:b/>
          <w:bCs/>
        </w:rPr>
      </w:pPr>
      <w:r w:rsidRPr="00696304">
        <w:rPr>
          <w:b/>
          <w:bCs/>
        </w:rPr>
        <w:fldChar w:fldCharType="begin"/>
      </w:r>
      <w:r w:rsidRPr="00696304">
        <w:rPr>
          <w:b/>
          <w:bCs/>
        </w:rPr>
        <w:instrText xml:space="preserve"> REF _Ref31105740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9</w:t>
      </w:r>
      <w:r w:rsidR="00C9025C" w:rsidRPr="00C9025C">
        <w:rPr>
          <w:b/>
          <w:bCs/>
        </w:rPr>
        <w:t>: Create an Action Point to UE vendors to provide an acceptable PC1 assumption for the CDF curve for MOP EIRP spherical coverage</w:t>
      </w:r>
      <w:r w:rsidRPr="00696304">
        <w:rPr>
          <w:b/>
          <w:bCs/>
        </w:rPr>
        <w:fldChar w:fldCharType="end"/>
      </w:r>
    </w:p>
    <w:p w14:paraId="2033FAC1" w14:textId="4350B8DB" w:rsidR="00696304" w:rsidRPr="00696304" w:rsidDel="00DC687B" w:rsidRDefault="00696304" w:rsidP="008B0529">
      <w:pPr>
        <w:rPr>
          <w:del w:id="30" w:author="Thorsten Hertel (KEYS)" w:date="2020-05-25T07:19:00Z"/>
          <w:b/>
          <w:bCs/>
        </w:rPr>
      </w:pPr>
      <w:del w:id="31" w:author="Thorsten Hertel (KEYS)" w:date="2020-05-25T07:19:00Z">
        <w:r w:rsidRPr="00696304" w:rsidDel="00DC687B">
          <w:rPr>
            <w:b/>
            <w:bCs/>
          </w:rPr>
          <w:fldChar w:fldCharType="begin"/>
        </w:r>
        <w:r w:rsidRPr="00696304" w:rsidDel="00DC687B">
          <w:rPr>
            <w:b/>
            <w:bCs/>
          </w:rPr>
          <w:delInstrText xml:space="preserve"> REF _Ref31105002 \h </w:delInstrText>
        </w:r>
        <w:r w:rsidDel="00DC687B">
          <w:rPr>
            <w:b/>
            <w:bCs/>
          </w:rPr>
          <w:delInstrText xml:space="preserve"> \* MERGEFORMAT </w:delInstrText>
        </w:r>
        <w:r w:rsidRPr="00696304" w:rsidDel="00DC687B">
          <w:rPr>
            <w:b/>
            <w:bCs/>
          </w:rPr>
        </w:r>
        <w:r w:rsidRPr="00696304" w:rsidDel="00DC687B">
          <w:rPr>
            <w:b/>
            <w:bCs/>
          </w:rPr>
          <w:fldChar w:fldCharType="separate"/>
        </w:r>
        <w:r w:rsidR="00C9025C" w:rsidRPr="00C9025C" w:rsidDel="00DC687B">
          <w:rPr>
            <w:b/>
            <w:bCs/>
          </w:rPr>
          <w:delText xml:space="preserve">Proposal </w:delText>
        </w:r>
        <w:r w:rsidR="00C9025C" w:rsidRPr="00C9025C" w:rsidDel="00DC687B">
          <w:rPr>
            <w:b/>
            <w:bCs/>
            <w:noProof/>
          </w:rPr>
          <w:delText>10</w:delText>
        </w:r>
        <w:r w:rsidR="00C9025C" w:rsidRPr="00C9025C" w:rsidDel="00DC687B">
          <w:rPr>
            <w:b/>
            <w:bCs/>
          </w:rPr>
          <w:delText>: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delText>
        </w:r>
        <w:r w:rsidRPr="00696304" w:rsidDel="00DC687B">
          <w:rPr>
            <w:b/>
            <w:bCs/>
          </w:rPr>
          <w:fldChar w:fldCharType="end"/>
        </w:r>
      </w:del>
    </w:p>
    <w:p w14:paraId="5519824D" w14:textId="4003F055" w:rsidR="00C9025C" w:rsidRPr="00696304" w:rsidRDefault="00C9025C" w:rsidP="00C9025C">
      <w:pPr>
        <w:rPr>
          <w:b/>
          <w:bCs/>
        </w:rPr>
      </w:pPr>
      <w:del w:id="32" w:author="Thorsten Hertel (KEYS)" w:date="2020-05-25T07:19:00Z">
        <w:r w:rsidRPr="00696304" w:rsidDel="00DC687B">
          <w:rPr>
            <w:b/>
            <w:bCs/>
          </w:rPr>
          <w:fldChar w:fldCharType="begin"/>
        </w:r>
        <w:r w:rsidRPr="00696304" w:rsidDel="00DC687B">
          <w:rPr>
            <w:b/>
            <w:bCs/>
          </w:rPr>
          <w:delInstrText xml:space="preserve"> REF _Ref39821848 \h </w:delInstrText>
        </w:r>
        <w:r w:rsidDel="00DC687B">
          <w:rPr>
            <w:b/>
            <w:bCs/>
          </w:rPr>
          <w:delInstrText xml:space="preserve"> \* MERGEFORMAT </w:delInstrText>
        </w:r>
        <w:r w:rsidRPr="00696304" w:rsidDel="00DC687B">
          <w:rPr>
            <w:b/>
            <w:bCs/>
          </w:rPr>
        </w:r>
        <w:r w:rsidRPr="00696304" w:rsidDel="00DC687B">
          <w:rPr>
            <w:b/>
            <w:bCs/>
          </w:rPr>
          <w:fldChar w:fldCharType="separate"/>
        </w:r>
        <w:r w:rsidRPr="00C9025C" w:rsidDel="00DC687B">
          <w:rPr>
            <w:b/>
            <w:bCs/>
          </w:rPr>
          <w:delText xml:space="preserve">Proposal </w:delText>
        </w:r>
        <w:r w:rsidRPr="00C9025C" w:rsidDel="00DC687B">
          <w:rPr>
            <w:b/>
            <w:bCs/>
            <w:noProof/>
          </w:rPr>
          <w:delText>11</w:delText>
        </w:r>
        <w:r w:rsidRPr="00C9025C" w:rsidDel="00DC687B">
          <w:rPr>
            <w:b/>
            <w:bCs/>
          </w:rPr>
          <w:delText>: Re-use the test equipment MU value from PC3 for the Uncertainty of the Network Analyzer</w:delText>
        </w:r>
        <w:r w:rsidRPr="00696304" w:rsidDel="00DC687B">
          <w:rPr>
            <w:b/>
            <w:bCs/>
          </w:rPr>
          <w:fldChar w:fldCharType="end"/>
        </w:r>
      </w:del>
    </w:p>
    <w:p w14:paraId="35952392" w14:textId="77777777" w:rsidR="00DD1C07" w:rsidRPr="00354167" w:rsidRDefault="00DD1C07" w:rsidP="00DD1C07">
      <w:pPr>
        <w:pStyle w:val="Heading1"/>
        <w:ind w:left="567" w:hanging="567"/>
      </w:pPr>
      <w:r w:rsidRPr="00354167">
        <w:t>References</w:t>
      </w:r>
    </w:p>
    <w:p w14:paraId="666D8355"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33" w:name="_Ref23867682"/>
      <w:r w:rsidRPr="00354167">
        <w:t>R5-198203, MU/MTSU Assumptions for PC1/Fixed Wireless Access (FWA) UE, Qualcomm, 3GPP TSG-RAN WG5 #85, November 2019</w:t>
      </w:r>
      <w:bookmarkEnd w:id="33"/>
    </w:p>
    <w:p w14:paraId="763E51A8"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34" w:name="_Ref31050457"/>
      <w:r w:rsidRPr="00354167">
        <w:t>R5-198265, Proposals for Beam Peak and TRP Measurement Grids for PC1 UEs, Keysight Technologies, 3GPP TSG-RAN WG5 #85, November 2019</w:t>
      </w:r>
      <w:bookmarkEnd w:id="34"/>
    </w:p>
    <w:p w14:paraId="24A5FA04"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35" w:name="_Ref31050460"/>
      <w:r w:rsidRPr="00354167">
        <w:t>R5-199530, Proposals for Spherical Coverage Measurement Grids for PC1 UEs, Keysight Technologies, 3GPP TSG-RAN WG5 #85, November 2019</w:t>
      </w:r>
      <w:bookmarkEnd w:id="35"/>
    </w:p>
    <w:p w14:paraId="78D26AC0" w14:textId="77777777" w:rsidR="00352233" w:rsidRPr="00354167" w:rsidRDefault="00352233" w:rsidP="00354167">
      <w:pPr>
        <w:numPr>
          <w:ilvl w:val="0"/>
          <w:numId w:val="5"/>
        </w:numPr>
        <w:tabs>
          <w:tab w:val="left" w:pos="426"/>
        </w:tabs>
        <w:overflowPunct w:val="0"/>
        <w:autoSpaceDE w:val="0"/>
        <w:autoSpaceDN w:val="0"/>
        <w:adjustRightInd w:val="0"/>
        <w:textAlignment w:val="baseline"/>
      </w:pPr>
      <w:bookmarkStart w:id="36" w:name="_Ref31089250"/>
      <w:r w:rsidRPr="00354167">
        <w:t>TS 38.521-2, User Equipment (UE) conformance specification; Radio transmission and reception; Part 2: Range 2 Standalone, V16.20 (2019-12)</w:t>
      </w:r>
      <w:bookmarkEnd w:id="36"/>
    </w:p>
    <w:p w14:paraId="198610FB" w14:textId="734F9FE5" w:rsidR="002B01BA" w:rsidRDefault="002B01BA" w:rsidP="00354167">
      <w:pPr>
        <w:numPr>
          <w:ilvl w:val="0"/>
          <w:numId w:val="5"/>
        </w:numPr>
        <w:tabs>
          <w:tab w:val="left" w:pos="426"/>
        </w:tabs>
        <w:overflowPunct w:val="0"/>
        <w:autoSpaceDE w:val="0"/>
        <w:autoSpaceDN w:val="0"/>
        <w:adjustRightInd w:val="0"/>
        <w:textAlignment w:val="baseline"/>
      </w:pPr>
      <w:bookmarkStart w:id="37" w:name="_Ref31090226"/>
      <w:r w:rsidRPr="00354167">
        <w:lastRenderedPageBreak/>
        <w:t>TR 38.903, Derivation of test tolerances and measurement uncertainty for User Equipment (UE) conformance test cases, V16.2.0 (2019-12)</w:t>
      </w:r>
      <w:bookmarkEnd w:id="37"/>
    </w:p>
    <w:p w14:paraId="50B60508" w14:textId="420E539C" w:rsidR="00AC57B6" w:rsidRPr="00354167" w:rsidRDefault="00AC57B6" w:rsidP="00354167">
      <w:pPr>
        <w:numPr>
          <w:ilvl w:val="0"/>
          <w:numId w:val="5"/>
        </w:numPr>
        <w:tabs>
          <w:tab w:val="left" w:pos="426"/>
        </w:tabs>
        <w:overflowPunct w:val="0"/>
        <w:autoSpaceDE w:val="0"/>
        <w:autoSpaceDN w:val="0"/>
        <w:adjustRightInd w:val="0"/>
        <w:textAlignment w:val="baseline"/>
      </w:pPr>
      <w:bookmarkStart w:id="38" w:name="_Ref31092598"/>
      <w:r w:rsidRPr="00AC57B6">
        <w:t>R5-191628</w:t>
      </w:r>
      <w:r>
        <w:t xml:space="preserve">, </w:t>
      </w:r>
      <w:r w:rsidRPr="00AC57B6">
        <w:t>MU Elements: documentation of justification and interdependence</w:t>
      </w:r>
      <w:r>
        <w:t xml:space="preserve">, </w:t>
      </w:r>
      <w:r w:rsidRPr="00AC57B6">
        <w:t>Keysight Technologies</w:t>
      </w:r>
      <w:r>
        <w:t xml:space="preserve">, </w:t>
      </w:r>
      <w:r w:rsidRPr="00AC57B6">
        <w:t>3GPP TSG-RAN5 Meeting #82</w:t>
      </w:r>
      <w:r>
        <w:t>, February 2019</w:t>
      </w:r>
      <w:bookmarkEnd w:id="38"/>
    </w:p>
    <w:p w14:paraId="35952393" w14:textId="186678D5" w:rsidR="000547AB" w:rsidRDefault="00354167" w:rsidP="00236683">
      <w:pPr>
        <w:numPr>
          <w:ilvl w:val="0"/>
          <w:numId w:val="5"/>
        </w:numPr>
        <w:tabs>
          <w:tab w:val="left" w:pos="426"/>
        </w:tabs>
        <w:overflowPunct w:val="0"/>
        <w:autoSpaceDE w:val="0"/>
        <w:autoSpaceDN w:val="0"/>
        <w:adjustRightInd w:val="0"/>
        <w:textAlignment w:val="baseline"/>
      </w:pPr>
      <w:bookmarkStart w:id="39" w:name="_Ref31093049"/>
      <w:r w:rsidRPr="00354167">
        <w:t>R5-190389</w:t>
      </w:r>
      <w:r>
        <w:t xml:space="preserve">, </w:t>
      </w:r>
      <w:r w:rsidRPr="00354167">
        <w:t>On Positioning Misalignment MU</w:t>
      </w:r>
      <w:r>
        <w:t xml:space="preserve">, Keysight Technologies, </w:t>
      </w:r>
      <w:r w:rsidRPr="00354167">
        <w:t>3GPP TSG-RAN WG5 5G NR AH #4</w:t>
      </w:r>
      <w:r>
        <w:t>, January 2019</w:t>
      </w:r>
      <w:bookmarkEnd w:id="39"/>
    </w:p>
    <w:p w14:paraId="5DEAD622" w14:textId="77777777" w:rsidR="00CA1AB4" w:rsidRDefault="00CA1AB4" w:rsidP="00CA1AB4">
      <w:pPr>
        <w:numPr>
          <w:ilvl w:val="0"/>
          <w:numId w:val="5"/>
        </w:numPr>
        <w:tabs>
          <w:tab w:val="left" w:pos="426"/>
        </w:tabs>
        <w:overflowPunct w:val="0"/>
        <w:autoSpaceDE w:val="0"/>
        <w:autoSpaceDN w:val="0"/>
        <w:adjustRightInd w:val="0"/>
        <w:textAlignment w:val="baseline"/>
      </w:pPr>
      <w:bookmarkStart w:id="40" w:name="_Ref31098828"/>
      <w:r w:rsidRPr="00CA1AB4">
        <w:t>R5-190387</w:t>
      </w:r>
      <w:r>
        <w:t xml:space="preserve">, </w:t>
      </w:r>
      <w:r w:rsidRPr="00CA1AB4">
        <w:t>On MU Element for DUT Repositioning</w:t>
      </w:r>
      <w:r>
        <w:t xml:space="preserve">, Keysight Technologies, </w:t>
      </w:r>
      <w:r w:rsidRPr="00354167">
        <w:t>3GPP TSG-RAN WG5 5G NR AH #4</w:t>
      </w:r>
      <w:r>
        <w:t>, January 2019</w:t>
      </w:r>
      <w:bookmarkEnd w:id="40"/>
    </w:p>
    <w:p w14:paraId="4F3180A6" w14:textId="77777777" w:rsidR="007C0BFC" w:rsidRPr="007C0BFC" w:rsidRDefault="007C0BFC" w:rsidP="007C0BFC">
      <w:pPr>
        <w:pStyle w:val="ListParagraph"/>
        <w:numPr>
          <w:ilvl w:val="0"/>
          <w:numId w:val="5"/>
        </w:numPr>
        <w:rPr>
          <w:rFonts w:eastAsia="Malgun Gothic"/>
          <w:szCs w:val="20"/>
          <w:lang w:val="en-GB"/>
        </w:rPr>
      </w:pPr>
      <w:bookmarkStart w:id="41" w:name="_Ref31103608"/>
      <w:r w:rsidRPr="007C0BFC">
        <w:rPr>
          <w:rFonts w:eastAsia="Malgun Gothic"/>
          <w:szCs w:val="20"/>
          <w:lang w:val="en-GB"/>
        </w:rPr>
        <w:t>TS 38.101-2, User Equipment (UE) radio transmission and reception; Part 2: Range 2 Standalone, V16.2.0 (2019-12)</w:t>
      </w:r>
      <w:bookmarkEnd w:id="41"/>
    </w:p>
    <w:p w14:paraId="2E365221" w14:textId="6879A117" w:rsidR="00CA1AB4" w:rsidRDefault="003404F4" w:rsidP="00236683">
      <w:pPr>
        <w:numPr>
          <w:ilvl w:val="0"/>
          <w:numId w:val="5"/>
        </w:numPr>
        <w:tabs>
          <w:tab w:val="left" w:pos="426"/>
        </w:tabs>
        <w:overflowPunct w:val="0"/>
        <w:autoSpaceDE w:val="0"/>
        <w:autoSpaceDN w:val="0"/>
        <w:adjustRightInd w:val="0"/>
        <w:textAlignment w:val="baseline"/>
      </w:pPr>
      <w:bookmarkStart w:id="42" w:name="_Ref31104265"/>
      <w:r w:rsidRPr="003404F4">
        <w:t>R4-1713677</w:t>
      </w:r>
      <w:r>
        <w:t xml:space="preserve">, </w:t>
      </w:r>
      <w:r w:rsidRPr="003404F4">
        <w:t>Test Equipment Measurement Uncertainties for NR UE RF Baseline System</w:t>
      </w:r>
      <w:r>
        <w:t xml:space="preserve">, </w:t>
      </w:r>
      <w:r w:rsidRPr="003404F4">
        <w:t>Rohde &amp; Schwarz</w:t>
      </w:r>
      <w:r>
        <w:t xml:space="preserve">, </w:t>
      </w:r>
      <w:r w:rsidRPr="003404F4">
        <w:t>3GPP TSG RAN WG4 Meeting #85</w:t>
      </w:r>
      <w:r>
        <w:t>, November 2017</w:t>
      </w:r>
      <w:bookmarkEnd w:id="42"/>
    </w:p>
    <w:p w14:paraId="1D25D928" w14:textId="20C59B61" w:rsidR="003404F4" w:rsidRDefault="003404F4" w:rsidP="00236683">
      <w:pPr>
        <w:numPr>
          <w:ilvl w:val="0"/>
          <w:numId w:val="5"/>
        </w:numPr>
        <w:tabs>
          <w:tab w:val="left" w:pos="426"/>
        </w:tabs>
        <w:overflowPunct w:val="0"/>
        <w:autoSpaceDE w:val="0"/>
        <w:autoSpaceDN w:val="0"/>
        <w:adjustRightInd w:val="0"/>
        <w:textAlignment w:val="baseline"/>
      </w:pPr>
      <w:bookmarkStart w:id="43" w:name="_Ref31104267"/>
      <w:r w:rsidRPr="003404F4">
        <w:t>R5-190804</w:t>
      </w:r>
      <w:r>
        <w:t xml:space="preserve">, </w:t>
      </w:r>
      <w:r w:rsidRPr="003404F4">
        <w:t>MU contribution of “Uncertainty of the RF power measurement equipment” (2)</w:t>
      </w:r>
      <w:r>
        <w:t xml:space="preserve">, Anritsu, </w:t>
      </w:r>
      <w:r w:rsidRPr="003404F4">
        <w:t xml:space="preserve">3GPP TSG-RAN5 #4-5G-NR </w:t>
      </w:r>
      <w:proofErr w:type="spellStart"/>
      <w:r w:rsidRPr="003404F4">
        <w:t>Adhoc</w:t>
      </w:r>
      <w:proofErr w:type="spellEnd"/>
      <w:r>
        <w:t>, January 2019</w:t>
      </w:r>
      <w:bookmarkEnd w:id="43"/>
    </w:p>
    <w:p w14:paraId="57E68977" w14:textId="30D032C9" w:rsidR="003404F4" w:rsidRPr="00354167" w:rsidRDefault="003404F4" w:rsidP="00236683">
      <w:pPr>
        <w:numPr>
          <w:ilvl w:val="0"/>
          <w:numId w:val="5"/>
        </w:numPr>
        <w:tabs>
          <w:tab w:val="left" w:pos="426"/>
        </w:tabs>
        <w:overflowPunct w:val="0"/>
        <w:autoSpaceDE w:val="0"/>
        <w:autoSpaceDN w:val="0"/>
        <w:adjustRightInd w:val="0"/>
        <w:textAlignment w:val="baseline"/>
      </w:pPr>
      <w:bookmarkStart w:id="44" w:name="_Ref31104268"/>
      <w:r w:rsidRPr="003404F4">
        <w:t>R5-191616</w:t>
      </w:r>
      <w:r>
        <w:t xml:space="preserve">, </w:t>
      </w:r>
      <w:r w:rsidRPr="003404F4">
        <w:t>On Calibration VNA uncertainty</w:t>
      </w:r>
      <w:r>
        <w:t xml:space="preserve">, Keysight Technologies, </w:t>
      </w:r>
      <w:r w:rsidRPr="003404F4">
        <w:t>3GPP TSG-RAN5 #82</w:t>
      </w:r>
      <w:r>
        <w:t>, February 2019</w:t>
      </w:r>
      <w:bookmarkEnd w:id="44"/>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F421FD" w:rsidRDefault="00F421FD">
      <w:r>
        <w:separator/>
      </w:r>
    </w:p>
  </w:endnote>
  <w:endnote w:type="continuationSeparator" w:id="0">
    <w:p w14:paraId="2B745E73" w14:textId="77777777" w:rsidR="00F421FD" w:rsidRDefault="00F421FD">
      <w:r>
        <w:continuationSeparator/>
      </w:r>
    </w:p>
  </w:endnote>
  <w:endnote w:type="continuationNotice" w:id="1">
    <w:p w14:paraId="10E66845" w14:textId="77777777" w:rsidR="00F421FD" w:rsidRDefault="00F4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F421FD" w:rsidRDefault="00F421FD">
      <w:r>
        <w:separator/>
      </w:r>
    </w:p>
  </w:footnote>
  <w:footnote w:type="continuationSeparator" w:id="0">
    <w:p w14:paraId="3D6D4D42" w14:textId="77777777" w:rsidR="00F421FD" w:rsidRDefault="00F421FD">
      <w:r>
        <w:continuationSeparator/>
      </w:r>
    </w:p>
  </w:footnote>
  <w:footnote w:type="continuationNotice" w:id="1">
    <w:p w14:paraId="3391714E" w14:textId="77777777" w:rsidR="00F421FD" w:rsidRDefault="00F42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6"/>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8"/>
  </w:num>
  <w:num w:numId="33">
    <w:abstractNumId w:val="34"/>
  </w:num>
  <w:num w:numId="34">
    <w:abstractNumId w:val="15"/>
  </w:num>
  <w:num w:numId="35">
    <w:abstractNumId w:val="7"/>
  </w:num>
  <w:num w:numId="36">
    <w:abstractNumId w:val="1"/>
  </w:num>
  <w:num w:numId="37">
    <w:abstractNumId w:val="27"/>
  </w:num>
  <w:num w:numId="38">
    <w:abstractNumId w:val="13"/>
  </w:num>
  <w:num w:numId="39">
    <w:abstractNumId w:val="4"/>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2BA0"/>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F08C5"/>
    <w:rsid w:val="004F24A6"/>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70861"/>
    <w:rsid w:val="00884BE6"/>
    <w:rsid w:val="0088503C"/>
    <w:rsid w:val="00885D92"/>
    <w:rsid w:val="00892723"/>
    <w:rsid w:val="00893454"/>
    <w:rsid w:val="00895D05"/>
    <w:rsid w:val="00896533"/>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8B9"/>
    <w:rsid w:val="00B42B91"/>
    <w:rsid w:val="00B478AC"/>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6C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63B69"/>
    <w:rsid w:val="00F7184A"/>
    <w:rsid w:val="00F77EB0"/>
    <w:rsid w:val="00F81AC1"/>
    <w:rsid w:val="00F83415"/>
    <w:rsid w:val="00F91F8F"/>
    <w:rsid w:val="00FA0215"/>
    <w:rsid w:val="00FA04B9"/>
    <w:rsid w:val="00FA35B4"/>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purl.org/dc/terms/"/>
    <ds:schemaRef ds:uri="http://schemas.microsoft.com/office/infopath/2007/PartnerControls"/>
    <ds:schemaRef ds:uri="878f5c59-aec9-459c-acf8-8cf941473193"/>
    <ds:schemaRef ds:uri="http://schemas.microsoft.com/office/2006/documentManagement/types"/>
    <ds:schemaRef ds:uri="bdd78157-346c-4767-bfdd-352789a5c5f1"/>
    <ds:schemaRef ds:uri="http://purl.org/dc/dcmitype/"/>
    <ds:schemaRef ds:uri="http://www.w3.org/XML/1998/namespace"/>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7ADD4-2927-4712-B901-A3EC21BDB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2</cp:revision>
  <dcterms:created xsi:type="dcterms:W3CDTF">2020-05-25T14:20:00Z</dcterms:created>
  <dcterms:modified xsi:type="dcterms:W3CDTF">2020-05-25T14:20:00Z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